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C93C4">
      <w:pPr>
        <w:tabs>
          <w:tab w:val="right" w:pos="8730"/>
        </w:tabs>
        <w:spacing w:line="580" w:lineRule="exact"/>
        <w:outlineLvl w:val="0"/>
        <w:rPr>
          <w:rFonts w:hint="eastAsia" w:ascii="黑体" w:hAnsi="黑体" w:eastAsia="黑体"/>
          <w:color w:val="000000"/>
          <w:szCs w:val="32"/>
        </w:rPr>
      </w:pPr>
      <w:r>
        <w:rPr>
          <w:rFonts w:hint="eastAsia" w:ascii="黑体" w:hAnsi="黑体" w:eastAsia="黑体"/>
          <w:color w:val="000000"/>
          <w:szCs w:val="32"/>
        </w:rPr>
        <w:t>附件4</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4"/>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512"/>
        <w:gridCol w:w="888"/>
        <w:gridCol w:w="1323"/>
        <w:gridCol w:w="1005"/>
        <w:gridCol w:w="872"/>
        <w:gridCol w:w="947"/>
        <w:gridCol w:w="620"/>
        <w:gridCol w:w="1122"/>
        <w:gridCol w:w="1532"/>
      </w:tblGrid>
      <w:tr w14:paraId="0104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exact"/>
        </w:trPr>
        <w:tc>
          <w:tcPr>
            <w:tcW w:w="992" w:type="dxa"/>
            <w:tcBorders>
              <w:tl2br w:val="nil"/>
              <w:tr2bl w:val="nil"/>
            </w:tcBorders>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4"/>
            <w:tcBorders>
              <w:tl2br w:val="nil"/>
              <w:tr2bl w:val="nil"/>
            </w:tcBorders>
            <w:vAlign w:val="center"/>
          </w:tcPr>
          <w:p w14:paraId="5609971C">
            <w:pPr>
              <w:spacing w:line="240" w:lineRule="exact"/>
              <w:jc w:val="left"/>
              <w:rPr>
                <w:rFonts w:hint="eastAsia" w:ascii="仿宋" w:hAnsi="仿宋" w:eastAsia="仿宋" w:cs="仿宋"/>
                <w:color w:val="000000"/>
                <w:sz w:val="21"/>
                <w:szCs w:val="15"/>
              </w:rPr>
            </w:pPr>
            <w:r>
              <w:rPr>
                <w:rFonts w:hint="eastAsia" w:ascii="仿宋" w:hAnsi="仿宋" w:eastAsia="仿宋" w:cs="仿宋"/>
                <w:color w:val="000000"/>
                <w:sz w:val="21"/>
                <w:szCs w:val="15"/>
              </w:rPr>
              <w:t>新型举国体制托举AG600“鲲龙”逐梦海天</w:t>
            </w:r>
          </w:p>
        </w:tc>
        <w:tc>
          <w:tcPr>
            <w:tcW w:w="1819" w:type="dxa"/>
            <w:gridSpan w:val="2"/>
            <w:tcBorders>
              <w:tl2br w:val="nil"/>
              <w:tr2bl w:val="nil"/>
            </w:tcBorders>
            <w:vAlign w:val="center"/>
          </w:tcPr>
          <w:p w14:paraId="4D0A6EB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7C625C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274" w:type="dxa"/>
            <w:gridSpan w:val="3"/>
            <w:tcBorders>
              <w:tl2br w:val="nil"/>
              <w:tr2bl w:val="nil"/>
            </w:tcBorders>
            <w:vAlign w:val="center"/>
          </w:tcPr>
          <w:p w14:paraId="648297C0">
            <w:pPr>
              <w:spacing w:line="240" w:lineRule="exact"/>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深度报道</w:t>
            </w:r>
          </w:p>
        </w:tc>
      </w:tr>
      <w:tr w14:paraId="0961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4"/>
            <w:vMerge w:val="restart"/>
            <w:tcBorders>
              <w:tl2br w:val="nil"/>
              <w:tr2bl w:val="nil"/>
            </w:tcBorders>
            <w:vAlign w:val="center"/>
          </w:tcPr>
          <w:p w14:paraId="78038E3E">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lang w:val="en-US" w:eastAsia="zh-CN"/>
              </w:rPr>
              <w:t>5728</w:t>
            </w:r>
            <w:r>
              <w:rPr>
                <w:rFonts w:hint="eastAsia" w:ascii="仿宋" w:hAnsi="仿宋" w:eastAsia="仿宋" w:cs="仿宋"/>
                <w:color w:val="000000"/>
                <w:sz w:val="21"/>
                <w:szCs w:val="15"/>
              </w:rPr>
              <w:t>字</w:t>
            </w:r>
            <w:bookmarkStart w:id="0" w:name="_GoBack"/>
            <w:bookmarkEnd w:id="0"/>
          </w:p>
        </w:tc>
        <w:tc>
          <w:tcPr>
            <w:tcW w:w="1819" w:type="dxa"/>
            <w:gridSpan w:val="2"/>
            <w:tcBorders>
              <w:tl2br w:val="nil"/>
              <w:tr2bl w:val="nil"/>
            </w:tcBorders>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3"/>
            <w:tcBorders>
              <w:tl2br w:val="nil"/>
              <w:tr2bl w:val="nil"/>
            </w:tcBorders>
            <w:vAlign w:val="center"/>
          </w:tcPr>
          <w:p w14:paraId="0EF9348B">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通讯</w:t>
            </w:r>
          </w:p>
        </w:tc>
      </w:tr>
      <w:tr w14:paraId="7CAA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92" w:type="dxa"/>
            <w:vMerge w:val="continue"/>
            <w:tcBorders>
              <w:tl2br w:val="nil"/>
              <w:tr2bl w:val="nil"/>
            </w:tcBorders>
            <w:vAlign w:val="center"/>
          </w:tcPr>
          <w:p w14:paraId="595770B0">
            <w:pPr>
              <w:spacing w:line="320" w:lineRule="exact"/>
              <w:jc w:val="center"/>
              <w:rPr>
                <w:rFonts w:hint="eastAsia" w:ascii="华文中宋" w:hAnsi="华文中宋" w:eastAsia="华文中宋"/>
                <w:color w:val="000000"/>
                <w:sz w:val="28"/>
              </w:rPr>
            </w:pPr>
          </w:p>
        </w:tc>
        <w:tc>
          <w:tcPr>
            <w:tcW w:w="3728" w:type="dxa"/>
            <w:gridSpan w:val="4"/>
            <w:vMerge w:val="continue"/>
            <w:tcBorders>
              <w:tl2br w:val="nil"/>
              <w:tr2bl w:val="nil"/>
            </w:tcBorders>
            <w:vAlign w:val="center"/>
          </w:tcPr>
          <w:p w14:paraId="0A8AF4DF">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3"/>
            <w:tcBorders>
              <w:tl2br w:val="nil"/>
              <w:tr2bl w:val="nil"/>
            </w:tcBorders>
            <w:vAlign w:val="center"/>
          </w:tcPr>
          <w:p w14:paraId="3AAC3CF0">
            <w:pPr>
              <w:spacing w:line="240" w:lineRule="exact"/>
              <w:rPr>
                <w:rFonts w:hint="eastAsia" w:ascii="仿宋" w:hAnsi="仿宋" w:eastAsia="仿宋" w:cs="仿宋"/>
                <w:color w:val="000000"/>
                <w:sz w:val="21"/>
                <w:szCs w:val="15"/>
              </w:rPr>
            </w:pPr>
          </w:p>
        </w:tc>
      </w:tr>
      <w:tr w14:paraId="5438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4"/>
            <w:tcBorders>
              <w:tl2br w:val="nil"/>
              <w:tr2bl w:val="nil"/>
            </w:tcBorders>
            <w:vAlign w:val="center"/>
          </w:tcPr>
          <w:p w14:paraId="7453BB5E">
            <w:pPr>
              <w:spacing w:line="240" w:lineRule="exact"/>
              <w:rPr>
                <w:rFonts w:hint="eastAsia" w:ascii="华文中宋" w:hAnsi="华文中宋" w:eastAsia="华文中宋"/>
                <w:color w:val="000000"/>
                <w:sz w:val="21"/>
                <w:szCs w:val="21"/>
              </w:rPr>
            </w:pPr>
            <w:r>
              <w:rPr>
                <w:rFonts w:hint="eastAsia" w:ascii="仿宋" w:hAnsi="仿宋" w:eastAsia="仿宋" w:cs="仿宋"/>
                <w:color w:val="000000"/>
                <w:sz w:val="21"/>
                <w:szCs w:val="15"/>
              </w:rPr>
              <w:t>吴斌斌、郭美辰、马慧星、王莹、柳碧澄、张亚歌</w:t>
            </w:r>
          </w:p>
        </w:tc>
        <w:tc>
          <w:tcPr>
            <w:tcW w:w="1819" w:type="dxa"/>
            <w:gridSpan w:val="2"/>
            <w:tcBorders>
              <w:tl2br w:val="nil"/>
              <w:tr2bl w:val="nil"/>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3"/>
            <w:tcBorders>
              <w:tl2br w:val="nil"/>
              <w:tr2bl w:val="nil"/>
            </w:tcBorders>
            <w:vAlign w:val="center"/>
          </w:tcPr>
          <w:p w14:paraId="21870789">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马宁、沈建、韩晓红</w:t>
            </w:r>
          </w:p>
        </w:tc>
      </w:tr>
      <w:tr w14:paraId="371D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4"/>
            <w:tcBorders>
              <w:tl2br w:val="nil"/>
              <w:tr2bl w:val="nil"/>
            </w:tcBorders>
            <w:vAlign w:val="center"/>
          </w:tcPr>
          <w:p w14:paraId="4A51632B">
            <w:pPr>
              <w:spacing w:line="260" w:lineRule="exact"/>
              <w:rPr>
                <w:rFonts w:hint="eastAsia" w:ascii="方正仿宋_GB2312" w:hAnsi="仿宋" w:eastAsia="仿宋"/>
                <w:color w:val="000000"/>
                <w:szCs w:val="21"/>
                <w:lang w:val="en-US" w:eastAsia="zh-CN"/>
              </w:rPr>
            </w:pPr>
            <w:r>
              <w:rPr>
                <w:rFonts w:hint="eastAsia" w:ascii="仿宋" w:hAnsi="仿宋" w:eastAsia="仿宋" w:cs="仿宋"/>
                <w:color w:val="000000"/>
                <w:sz w:val="21"/>
                <w:szCs w:val="15"/>
                <w:lang w:eastAsia="zh-CN"/>
              </w:rPr>
              <w:t>《</w:t>
            </w:r>
            <w:r>
              <w:rPr>
                <w:rFonts w:hint="eastAsia" w:ascii="仿宋" w:hAnsi="仿宋" w:eastAsia="仿宋" w:cs="仿宋"/>
                <w:color w:val="000000"/>
                <w:sz w:val="21"/>
                <w:szCs w:val="15"/>
              </w:rPr>
              <w:t>中国航空报</w:t>
            </w:r>
            <w:r>
              <w:rPr>
                <w:rFonts w:hint="eastAsia" w:ascii="仿宋" w:hAnsi="仿宋" w:eastAsia="仿宋" w:cs="仿宋"/>
                <w:color w:val="000000"/>
                <w:sz w:val="21"/>
                <w:szCs w:val="15"/>
                <w:lang w:eastAsia="zh-CN"/>
              </w:rPr>
              <w:t>》</w:t>
            </w:r>
            <w:r>
              <w:rPr>
                <w:rFonts w:hint="eastAsia" w:ascii="仿宋" w:hAnsi="仿宋" w:eastAsia="仿宋" w:cs="仿宋"/>
                <w:color w:val="000000"/>
                <w:sz w:val="21"/>
                <w:szCs w:val="15"/>
              </w:rPr>
              <w:t>社</w:t>
            </w:r>
            <w:r>
              <w:rPr>
                <w:rFonts w:hint="eastAsia" w:ascii="仿宋" w:hAnsi="仿宋" w:eastAsia="仿宋" w:cs="仿宋"/>
                <w:color w:val="000000"/>
                <w:sz w:val="21"/>
                <w:szCs w:val="15"/>
                <w:lang w:val="en-US" w:eastAsia="zh-CN"/>
              </w:rPr>
              <w:t>有限公司</w:t>
            </w:r>
          </w:p>
        </w:tc>
        <w:tc>
          <w:tcPr>
            <w:tcW w:w="1819" w:type="dxa"/>
            <w:gridSpan w:val="2"/>
            <w:tcBorders>
              <w:tl2br w:val="nil"/>
              <w:tr2bl w:val="nil"/>
            </w:tcBorders>
            <w:vAlign w:val="center"/>
          </w:tcPr>
          <w:p w14:paraId="1916C51B">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7B62230C">
            <w:pPr>
              <w:spacing w:line="260" w:lineRule="exact"/>
              <w:rPr>
                <w:rFonts w:hint="eastAsia"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274" w:type="dxa"/>
            <w:gridSpan w:val="3"/>
            <w:tcBorders>
              <w:tl2br w:val="nil"/>
              <w:tr2bl w:val="nil"/>
            </w:tcBorders>
            <w:vAlign w:val="center"/>
          </w:tcPr>
          <w:p w14:paraId="1B3ABACD">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lang w:eastAsia="zh-CN"/>
              </w:rPr>
              <w:t>《</w:t>
            </w:r>
            <w:r>
              <w:rPr>
                <w:rFonts w:hint="eastAsia" w:ascii="仿宋" w:hAnsi="仿宋" w:eastAsia="仿宋" w:cs="仿宋"/>
                <w:color w:val="000000"/>
                <w:sz w:val="21"/>
                <w:szCs w:val="15"/>
              </w:rPr>
              <w:t>中国航空报</w:t>
            </w:r>
            <w:r>
              <w:rPr>
                <w:rFonts w:hint="eastAsia" w:ascii="仿宋" w:hAnsi="仿宋" w:eastAsia="仿宋" w:cs="仿宋"/>
                <w:color w:val="000000"/>
                <w:sz w:val="21"/>
                <w:szCs w:val="15"/>
                <w:lang w:eastAsia="zh-CN"/>
              </w:rPr>
              <w:t>》</w:t>
            </w:r>
          </w:p>
        </w:tc>
      </w:tr>
      <w:tr w14:paraId="53AD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exact"/>
        </w:trPr>
        <w:tc>
          <w:tcPr>
            <w:tcW w:w="1504" w:type="dxa"/>
            <w:gridSpan w:val="2"/>
            <w:tcBorders>
              <w:tl2br w:val="nil"/>
              <w:tr2bl w:val="nil"/>
            </w:tcBorders>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rPr>
              <w:t>（</w:t>
            </w:r>
            <w:r>
              <w:rPr>
                <w:rFonts w:hint="eastAsia" w:ascii="华文中宋" w:hAnsi="华文中宋" w:eastAsia="华文中宋"/>
                <w:color w:val="000000"/>
                <w:spacing w:val="-23"/>
                <w:sz w:val="22"/>
                <w:szCs w:val="21"/>
              </w:rPr>
              <w:t>名称和版次）</w:t>
            </w:r>
          </w:p>
        </w:tc>
        <w:tc>
          <w:tcPr>
            <w:tcW w:w="3216" w:type="dxa"/>
            <w:gridSpan w:val="3"/>
            <w:tcBorders>
              <w:tl2br w:val="nil"/>
              <w:tr2bl w:val="nil"/>
            </w:tcBorders>
            <w:vAlign w:val="center"/>
          </w:tcPr>
          <w:p w14:paraId="06FC5C4D">
            <w:pPr>
              <w:spacing w:line="260" w:lineRule="exact"/>
              <w:rPr>
                <w:rFonts w:hint="eastAsia" w:ascii="方正仿宋_GB2312" w:hAnsi="仿宋"/>
                <w:color w:val="000000"/>
                <w:szCs w:val="21"/>
              </w:rPr>
            </w:pPr>
            <w:r>
              <w:rPr>
                <w:rFonts w:hint="eastAsia" w:ascii="仿宋" w:hAnsi="仿宋" w:eastAsia="仿宋" w:cs="仿宋"/>
                <w:color w:val="000000"/>
                <w:sz w:val="21"/>
                <w:szCs w:val="15"/>
              </w:rPr>
              <w:t>5版、6版（专题版）</w:t>
            </w:r>
          </w:p>
        </w:tc>
        <w:tc>
          <w:tcPr>
            <w:tcW w:w="872" w:type="dxa"/>
            <w:tcBorders>
              <w:tl2br w:val="nil"/>
              <w:tr2bl w:val="nil"/>
            </w:tcBorders>
            <w:vAlign w:val="center"/>
          </w:tcPr>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发布日期</w:t>
            </w:r>
          </w:p>
        </w:tc>
        <w:tc>
          <w:tcPr>
            <w:tcW w:w="4221" w:type="dxa"/>
            <w:gridSpan w:val="4"/>
            <w:tcBorders>
              <w:tl2br w:val="nil"/>
              <w:tr2bl w:val="nil"/>
            </w:tcBorders>
            <w:vAlign w:val="center"/>
          </w:tcPr>
          <w:p w14:paraId="7A66C554">
            <w:pPr>
              <w:spacing w:line="260" w:lineRule="exact"/>
              <w:rPr>
                <w:rFonts w:hint="eastAsia" w:ascii="方正仿宋_GB2312" w:hAnsi="仿宋"/>
                <w:color w:val="000000"/>
                <w:szCs w:val="21"/>
              </w:rPr>
            </w:pPr>
            <w:r>
              <w:rPr>
                <w:rFonts w:hint="eastAsia" w:ascii="仿宋" w:hAnsi="仿宋" w:eastAsia="仿宋" w:cs="仿宋"/>
                <w:color w:val="000000"/>
                <w:sz w:val="21"/>
                <w:szCs w:val="15"/>
              </w:rPr>
              <w:t>2025年4月22日</w:t>
            </w:r>
          </w:p>
        </w:tc>
      </w:tr>
      <w:tr w14:paraId="60708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1504" w:type="dxa"/>
            <w:gridSpan w:val="2"/>
            <w:tcBorders>
              <w:tl2br w:val="nil"/>
              <w:tr2bl w:val="nil"/>
            </w:tcBorders>
            <w:vAlign w:val="center"/>
          </w:tcPr>
          <w:p w14:paraId="2FC99FA4">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新媒体</w:t>
            </w:r>
            <w:r>
              <w:rPr>
                <w:rFonts w:ascii="华文中宋" w:hAnsi="华文中宋" w:eastAsia="华文中宋"/>
                <w:color w:val="000000"/>
                <w:sz w:val="24"/>
                <w:szCs w:val="21"/>
              </w:rPr>
              <w:t>作品</w:t>
            </w:r>
          </w:p>
          <w:p w14:paraId="32F6A552">
            <w:pPr>
              <w:spacing w:line="320" w:lineRule="exact"/>
              <w:jc w:val="center"/>
              <w:rPr>
                <w:rFonts w:hint="eastAsia" w:ascii="方正仿宋_GB2312" w:hAnsi="仿宋" w:eastAsia="华文中宋"/>
                <w:color w:val="000000"/>
                <w:szCs w:val="21"/>
              </w:rPr>
            </w:pPr>
            <w:r>
              <w:rPr>
                <w:rFonts w:hint="eastAsia" w:ascii="华文中宋" w:hAnsi="华文中宋" w:eastAsia="华文中宋"/>
                <w:color w:val="000000"/>
                <w:sz w:val="24"/>
                <w:szCs w:val="21"/>
              </w:rPr>
              <w:t>链接</w:t>
            </w:r>
          </w:p>
        </w:tc>
        <w:tc>
          <w:tcPr>
            <w:tcW w:w="5035" w:type="dxa"/>
            <w:gridSpan w:val="5"/>
            <w:tcBorders>
              <w:tl2br w:val="nil"/>
              <w:tr2bl w:val="nil"/>
            </w:tcBorders>
            <w:vAlign w:val="center"/>
          </w:tcPr>
          <w:p w14:paraId="78E7ED31">
            <w:pPr>
              <w:spacing w:line="260" w:lineRule="exact"/>
              <w:rPr>
                <w:rFonts w:hint="eastAsia" w:ascii="华文中宋" w:hAnsi="华文中宋" w:eastAsia="华文中宋"/>
                <w:color w:val="000000"/>
                <w:sz w:val="28"/>
              </w:rPr>
            </w:pPr>
          </w:p>
        </w:tc>
        <w:tc>
          <w:tcPr>
            <w:tcW w:w="1742" w:type="dxa"/>
            <w:gridSpan w:val="2"/>
            <w:tcBorders>
              <w:tl2br w:val="nil"/>
              <w:tr2bl w:val="nil"/>
            </w:tcBorders>
            <w:vAlign w:val="center"/>
          </w:tcPr>
          <w:p w14:paraId="79A0CB2B">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3B30F695">
            <w:pPr>
              <w:spacing w:line="260" w:lineRule="exact"/>
              <w:rPr>
                <w:rFonts w:hint="eastAsia" w:ascii="华文中宋" w:hAnsi="华文中宋" w:eastAsia="华文中宋"/>
                <w:color w:val="000000"/>
                <w:sz w:val="28"/>
              </w:rPr>
            </w:pPr>
          </w:p>
        </w:tc>
      </w:tr>
      <w:tr w14:paraId="6D9F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0" w:hRule="atLeast"/>
        </w:trPr>
        <w:tc>
          <w:tcPr>
            <w:tcW w:w="992" w:type="dxa"/>
            <w:tcBorders>
              <w:tl2br w:val="nil"/>
              <w:tr2bl w:val="nil"/>
            </w:tcBorders>
            <w:vAlign w:val="center"/>
          </w:tcPr>
          <w:p w14:paraId="3869C97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w:t>
            </w:r>
          </w:p>
          <w:p w14:paraId="4D61922C">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品</w:t>
            </w:r>
          </w:p>
          <w:p w14:paraId="33317C9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简</w:t>
            </w:r>
          </w:p>
          <w:p w14:paraId="55AC629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介</w:t>
            </w:r>
          </w:p>
        </w:tc>
        <w:tc>
          <w:tcPr>
            <w:tcW w:w="8821" w:type="dxa"/>
            <w:gridSpan w:val="9"/>
            <w:tcBorders>
              <w:tl2br w:val="nil"/>
              <w:tr2bl w:val="nil"/>
            </w:tcBorders>
            <w:vAlign w:val="center"/>
          </w:tcPr>
          <w:p w14:paraId="755233F1">
            <w:pPr>
              <w:ind w:firstLine="398" w:firstLineChars="200"/>
              <w:rPr>
                <w:rFonts w:hint="eastAsia" w:ascii="仿宋" w:hAnsi="仿宋" w:eastAsia="仿宋"/>
                <w:color w:val="000000"/>
                <w:w w:val="95"/>
                <w:sz w:val="21"/>
                <w:szCs w:val="21"/>
              </w:rPr>
            </w:pPr>
            <w:r>
              <w:rPr>
                <w:rFonts w:hint="eastAsia" w:ascii="仿宋" w:hAnsi="仿宋" w:eastAsia="仿宋"/>
                <w:color w:val="000000"/>
                <w:w w:val="95"/>
                <w:sz w:val="21"/>
                <w:szCs w:val="21"/>
              </w:rPr>
              <w:t>在我国自主研制的大型水陆两栖飞机 AG600“鲲龙”在京取得型号合格证前夕，记者团队深入 AG600 位于祖国东南西北中的各条科研生产战线，采访了大量基层一线干部职工，以系列报道为读者呈现了15 年来，在国家战略牵引下，中国航空工业集团会同22个省级行政区、296家企事业单位、16所高校组建联合研制团队，将散布在五湖四海的技术火种汇聚成了自主创新的火炬，托举AG600 逐梦海天的攻坚故事。报道刊发后，引起广泛关注和好评，并获2025年度“国企好新闻”奖。</w:t>
            </w:r>
          </w:p>
        </w:tc>
      </w:tr>
      <w:tr w14:paraId="05D0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exact"/>
        </w:trPr>
        <w:tc>
          <w:tcPr>
            <w:tcW w:w="992" w:type="dxa"/>
            <w:vMerge w:val="restart"/>
            <w:tcBorders>
              <w:tl2br w:val="nil"/>
              <w:tr2bl w:val="nil"/>
            </w:tcBorders>
            <w:vAlign w:val="center"/>
          </w:tcPr>
          <w:p w14:paraId="7BFC70BA">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传</w:t>
            </w:r>
          </w:p>
          <w:p w14:paraId="0F6B8EA2">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播</w:t>
            </w:r>
          </w:p>
          <w:p w14:paraId="1A867DFC">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数</w:t>
            </w:r>
          </w:p>
          <w:p w14:paraId="0EFA37B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据</w:t>
            </w:r>
          </w:p>
        </w:tc>
        <w:tc>
          <w:tcPr>
            <w:tcW w:w="1400" w:type="dxa"/>
            <w:gridSpan w:val="2"/>
            <w:tcBorders>
              <w:tl2br w:val="nil"/>
              <w:tr2bl w:val="nil"/>
            </w:tcBorders>
            <w:vAlign w:val="center"/>
          </w:tcPr>
          <w:p w14:paraId="0B930050">
            <w:pPr>
              <w:jc w:val="center"/>
              <w:rPr>
                <w:rFonts w:hint="eastAsia" w:ascii="楷体" w:hAnsi="楷体" w:eastAsia="楷体" w:cs="楷体"/>
                <w:b/>
                <w:bCs/>
                <w:color w:val="000000"/>
                <w:sz w:val="24"/>
                <w:szCs w:val="18"/>
              </w:rPr>
            </w:pPr>
            <w:r>
              <w:rPr>
                <w:rFonts w:hint="eastAsia" w:ascii="楷体" w:hAnsi="楷体" w:eastAsia="楷体" w:cs="楷体"/>
                <w:b/>
                <w:bCs/>
                <w:color w:val="000000"/>
                <w:spacing w:val="-10"/>
                <w:sz w:val="24"/>
                <w:szCs w:val="18"/>
              </w:rPr>
              <w:t>全网传播量最高</w:t>
            </w:r>
            <w:r>
              <w:rPr>
                <w:rFonts w:hint="eastAsia" w:ascii="楷体" w:hAnsi="楷体" w:eastAsia="楷体" w:cs="楷体"/>
                <w:b/>
                <w:bCs/>
                <w:color w:val="000000"/>
                <w:sz w:val="24"/>
                <w:szCs w:val="18"/>
              </w:rPr>
              <w:t>平台</w:t>
            </w:r>
          </w:p>
          <w:p w14:paraId="436EEDCF">
            <w:pPr>
              <w:jc w:val="center"/>
              <w:rPr>
                <w:rFonts w:hint="eastAsia" w:ascii="楷体" w:hAnsi="楷体" w:eastAsia="楷体" w:cs="楷体"/>
                <w:b/>
                <w:bCs/>
                <w:color w:val="000000"/>
                <w:sz w:val="24"/>
                <w:szCs w:val="18"/>
              </w:rPr>
            </w:pPr>
            <w:r>
              <w:rPr>
                <w:rFonts w:hint="eastAsia" w:ascii="楷体" w:hAnsi="楷体" w:eastAsia="楷体" w:cs="楷体"/>
                <w:b/>
                <w:bCs/>
                <w:color w:val="000000"/>
                <w:sz w:val="24"/>
                <w:szCs w:val="18"/>
              </w:rPr>
              <w:t>发布链接</w:t>
            </w:r>
          </w:p>
        </w:tc>
        <w:tc>
          <w:tcPr>
            <w:tcW w:w="7421" w:type="dxa"/>
            <w:gridSpan w:val="7"/>
            <w:tcBorders>
              <w:tl2br w:val="nil"/>
              <w:tr2bl w:val="nil"/>
            </w:tcBorders>
            <w:vAlign w:val="center"/>
          </w:tcPr>
          <w:p w14:paraId="10EAC8E2">
            <w:pPr>
              <w:spacing w:line="280" w:lineRule="exact"/>
              <w:rPr>
                <w:rFonts w:hint="eastAsia" w:ascii="仿宋" w:hAnsi="仿宋" w:eastAsia="仿宋"/>
                <w:color w:val="000000"/>
                <w:szCs w:val="21"/>
              </w:rPr>
            </w:pPr>
          </w:p>
        </w:tc>
      </w:tr>
      <w:tr w14:paraId="5E561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40CAB92D">
            <w:pPr>
              <w:spacing w:line="320" w:lineRule="exact"/>
              <w:jc w:val="center"/>
              <w:rPr>
                <w:rFonts w:hint="eastAsia" w:ascii="华文中宋" w:hAnsi="华文中宋" w:eastAsia="华文中宋"/>
                <w:color w:val="000000"/>
                <w:sz w:val="28"/>
              </w:rPr>
            </w:pPr>
          </w:p>
        </w:tc>
        <w:tc>
          <w:tcPr>
            <w:tcW w:w="1400" w:type="dxa"/>
            <w:gridSpan w:val="2"/>
            <w:tcBorders>
              <w:tl2br w:val="nil"/>
              <w:tr2bl w:val="nil"/>
            </w:tcBorders>
            <w:vAlign w:val="center"/>
          </w:tcPr>
          <w:p w14:paraId="359C1F04">
            <w:pPr>
              <w:spacing w:line="240" w:lineRule="exact"/>
              <w:jc w:val="center"/>
              <w:rPr>
                <w:rFonts w:hint="eastAsia" w:ascii="楷体" w:hAnsi="楷体" w:eastAsia="楷体" w:cs="楷体"/>
                <w:b/>
                <w:bCs/>
                <w:color w:val="000000"/>
                <w:sz w:val="21"/>
                <w:szCs w:val="21"/>
              </w:rPr>
            </w:pPr>
            <w:r>
              <w:rPr>
                <w:rFonts w:hint="eastAsia" w:ascii="楷体" w:hAnsi="楷体" w:eastAsia="楷体" w:cs="楷体"/>
                <w:b/>
                <w:bCs/>
                <w:color w:val="000000"/>
                <w:sz w:val="21"/>
                <w:szCs w:val="21"/>
              </w:rPr>
              <w:t>该平台</w:t>
            </w:r>
          </w:p>
          <w:p w14:paraId="0CD586AA">
            <w:pPr>
              <w:spacing w:line="240" w:lineRule="exact"/>
              <w:jc w:val="center"/>
              <w:rPr>
                <w:rFonts w:hint="eastAsia" w:ascii="仿宋" w:hAnsi="仿宋" w:eastAsia="楷体"/>
                <w:color w:val="000000"/>
                <w:sz w:val="21"/>
                <w:szCs w:val="21"/>
              </w:rPr>
            </w:pPr>
            <w:r>
              <w:rPr>
                <w:rFonts w:hint="eastAsia" w:ascii="楷体" w:hAnsi="楷体" w:eastAsia="楷体" w:cs="楷体"/>
                <w:b/>
                <w:bCs/>
                <w:color w:val="000000"/>
                <w:sz w:val="21"/>
                <w:szCs w:val="21"/>
              </w:rPr>
              <w:t>传播量</w:t>
            </w:r>
          </w:p>
        </w:tc>
        <w:tc>
          <w:tcPr>
            <w:tcW w:w="1323" w:type="dxa"/>
            <w:tcBorders>
              <w:tl2br w:val="nil"/>
              <w:tr2bl w:val="nil"/>
            </w:tcBorders>
            <w:vAlign w:val="center"/>
          </w:tcPr>
          <w:p w14:paraId="769BF1DC">
            <w:pPr>
              <w:spacing w:line="240" w:lineRule="exact"/>
              <w:rPr>
                <w:rFonts w:hint="eastAsia" w:ascii="仿宋" w:hAnsi="仿宋" w:eastAsia="仿宋"/>
                <w:color w:val="000000"/>
                <w:sz w:val="21"/>
                <w:szCs w:val="21"/>
              </w:rPr>
            </w:pPr>
          </w:p>
        </w:tc>
        <w:tc>
          <w:tcPr>
            <w:tcW w:w="1005" w:type="dxa"/>
            <w:tcBorders>
              <w:tl2br w:val="nil"/>
              <w:tr2bl w:val="nil"/>
            </w:tcBorders>
            <w:vAlign w:val="center"/>
          </w:tcPr>
          <w:p w14:paraId="40B3F7F4">
            <w:pPr>
              <w:spacing w:line="240" w:lineRule="exact"/>
              <w:jc w:val="center"/>
              <w:rPr>
                <w:rFonts w:hint="eastAsia" w:ascii="楷体" w:hAnsi="楷体" w:eastAsia="楷体" w:cs="楷体"/>
                <w:b/>
                <w:bCs/>
                <w:color w:val="000000"/>
                <w:sz w:val="21"/>
                <w:szCs w:val="21"/>
              </w:rPr>
            </w:pPr>
            <w:r>
              <w:rPr>
                <w:rFonts w:hint="eastAsia" w:ascii="楷体" w:hAnsi="楷体" w:eastAsia="楷体" w:cs="楷体"/>
                <w:b/>
                <w:bCs/>
                <w:color w:val="000000"/>
                <w:sz w:val="21"/>
                <w:szCs w:val="21"/>
              </w:rPr>
              <w:t>该平台</w:t>
            </w:r>
          </w:p>
          <w:p w14:paraId="579A7769">
            <w:pPr>
              <w:spacing w:line="240" w:lineRule="exact"/>
              <w:jc w:val="center"/>
              <w:rPr>
                <w:rFonts w:hint="eastAsia" w:ascii="仿宋" w:hAnsi="仿宋" w:eastAsia="仿宋"/>
                <w:color w:val="000000"/>
                <w:sz w:val="21"/>
                <w:szCs w:val="21"/>
              </w:rPr>
            </w:pPr>
            <w:r>
              <w:rPr>
                <w:rFonts w:hint="eastAsia" w:ascii="楷体" w:hAnsi="楷体" w:eastAsia="楷体" w:cs="楷体"/>
                <w:b/>
                <w:bCs/>
                <w:color w:val="000000"/>
                <w:sz w:val="21"/>
                <w:szCs w:val="21"/>
              </w:rPr>
              <w:t>互动量</w:t>
            </w:r>
          </w:p>
        </w:tc>
        <w:tc>
          <w:tcPr>
            <w:tcW w:w="2439" w:type="dxa"/>
            <w:gridSpan w:val="3"/>
            <w:tcBorders>
              <w:tl2br w:val="nil"/>
              <w:tr2bl w:val="nil"/>
            </w:tcBorders>
            <w:vAlign w:val="center"/>
          </w:tcPr>
          <w:p w14:paraId="5BE3E5F6">
            <w:pPr>
              <w:spacing w:line="240" w:lineRule="exact"/>
              <w:rPr>
                <w:rFonts w:hint="eastAsia" w:ascii="仿宋" w:hAnsi="仿宋" w:eastAsia="仿宋"/>
                <w:color w:val="000000"/>
                <w:sz w:val="21"/>
                <w:szCs w:val="21"/>
              </w:rPr>
            </w:pPr>
          </w:p>
        </w:tc>
        <w:tc>
          <w:tcPr>
            <w:tcW w:w="1122" w:type="dxa"/>
            <w:tcBorders>
              <w:tl2br w:val="nil"/>
              <w:tr2bl w:val="nil"/>
            </w:tcBorders>
            <w:vAlign w:val="center"/>
          </w:tcPr>
          <w:p w14:paraId="50FA0102">
            <w:pPr>
              <w:spacing w:line="240" w:lineRule="exact"/>
              <w:rPr>
                <w:rFonts w:hint="eastAsia" w:ascii="仿宋" w:hAnsi="仿宋" w:eastAsia="仿宋"/>
                <w:color w:val="000000"/>
                <w:sz w:val="21"/>
                <w:szCs w:val="21"/>
              </w:rPr>
            </w:pPr>
            <w:r>
              <w:rPr>
                <w:rFonts w:hint="eastAsia" w:ascii="楷体" w:hAnsi="楷体" w:eastAsia="楷体" w:cs="楷体"/>
                <w:b/>
                <w:bCs/>
                <w:color w:val="000000"/>
                <w:sz w:val="21"/>
                <w:szCs w:val="21"/>
              </w:rPr>
              <w:t>全网总传播量（万）</w:t>
            </w:r>
          </w:p>
        </w:tc>
        <w:tc>
          <w:tcPr>
            <w:tcW w:w="1532" w:type="dxa"/>
            <w:tcBorders>
              <w:tl2br w:val="nil"/>
              <w:tr2bl w:val="nil"/>
            </w:tcBorders>
            <w:vAlign w:val="center"/>
          </w:tcPr>
          <w:p w14:paraId="03DD5D6F">
            <w:pPr>
              <w:spacing w:line="240" w:lineRule="exact"/>
              <w:rPr>
                <w:rFonts w:hint="eastAsia" w:ascii="仿宋" w:hAnsi="仿宋" w:eastAsia="仿宋"/>
                <w:color w:val="000000"/>
                <w:sz w:val="21"/>
                <w:szCs w:val="21"/>
              </w:rPr>
            </w:pPr>
          </w:p>
        </w:tc>
      </w:tr>
      <w:tr w14:paraId="0651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2" w:hRule="exact"/>
        </w:trPr>
        <w:tc>
          <w:tcPr>
            <w:tcW w:w="992" w:type="dxa"/>
            <w:tcBorders>
              <w:tl2br w:val="nil"/>
              <w:tr2bl w:val="nil"/>
            </w:tcBorders>
            <w:vAlign w:val="center"/>
          </w:tcPr>
          <w:p w14:paraId="7C530D91">
            <w:pPr>
              <w:spacing w:line="320" w:lineRule="exact"/>
              <w:jc w:val="center"/>
              <w:rPr>
                <w:rFonts w:hint="eastAsia" w:ascii="华文中宋" w:hAnsi="华文中宋" w:eastAsia="华文中宋"/>
                <w:sz w:val="28"/>
              </w:rPr>
            </w:pPr>
            <w:r>
              <w:rPr>
                <w:rFonts w:hint="eastAsia" w:ascii="华文中宋" w:hAnsi="华文中宋" w:eastAsia="华文中宋"/>
                <w:sz w:val="28"/>
              </w:rPr>
              <w:t xml:space="preserve">  ︵</w:t>
            </w:r>
          </w:p>
          <w:p w14:paraId="2AF5CE53">
            <w:pPr>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70360EC6">
            <w:pPr>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25BBAAD6">
            <w:pPr>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1F394BD1">
            <w:pPr>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1BE3FC92">
            <w:pPr>
              <w:spacing w:line="240" w:lineRule="exact"/>
              <w:jc w:val="center"/>
              <w:rPr>
                <w:rFonts w:hint="eastAsia" w:ascii="华文中宋" w:hAnsi="华文中宋" w:eastAsia="华文中宋"/>
                <w:color w:val="000000"/>
                <w:sz w:val="28"/>
              </w:rPr>
            </w:pPr>
            <w:r>
              <w:rPr>
                <w:rFonts w:hint="eastAsia" w:ascii="华文中宋" w:hAnsi="华文中宋" w:eastAsia="华文中宋"/>
                <w:sz w:val="28"/>
              </w:rPr>
              <w:t xml:space="preserve">  ︶</w:t>
            </w:r>
          </w:p>
        </w:tc>
        <w:tc>
          <w:tcPr>
            <w:tcW w:w="8821" w:type="dxa"/>
            <w:gridSpan w:val="9"/>
            <w:tcBorders>
              <w:tl2br w:val="nil"/>
              <w:tr2bl w:val="nil"/>
            </w:tcBorders>
            <w:vAlign w:val="center"/>
          </w:tcPr>
          <w:p w14:paraId="7367EBF8">
            <w:pPr>
              <w:rPr>
                <w:rFonts w:hint="eastAsia" w:ascii="仿宋" w:hAnsi="仿宋" w:eastAsia="仿宋" w:cs="仿宋"/>
                <w:color w:val="000000"/>
                <w:sz w:val="21"/>
                <w:szCs w:val="21"/>
                <w:lang w:bidi="ar"/>
              </w:rPr>
            </w:pPr>
          </w:p>
          <w:p w14:paraId="0FAE4ABD">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这组系列报道将新闻性、政治性和文学性融为一体，从多视角全方位为读者深入解读“鲲龙”AG600的研制历程，</w:t>
            </w:r>
            <w:r>
              <w:rPr>
                <w:rFonts w:hint="eastAsia" w:ascii="仿宋" w:hAnsi="仿宋" w:eastAsia="仿宋"/>
                <w:color w:val="000000"/>
                <w:w w:val="95"/>
                <w:sz w:val="21"/>
                <w:szCs w:val="21"/>
              </w:rPr>
              <w:t>报道刊发后，引起广泛关注和好评，并获2025年度“国企好新闻”奖</w:t>
            </w:r>
            <w:r>
              <w:rPr>
                <w:rFonts w:hint="eastAsia" w:ascii="仿宋" w:hAnsi="仿宋" w:eastAsia="仿宋" w:cs="仿宋"/>
                <w:color w:val="000000"/>
                <w:sz w:val="21"/>
                <w:szCs w:val="21"/>
              </w:rPr>
              <w:t>。记者团队前往全国4省5市进行实地采访，用实际行动践行“四力”，全景呈现大国重器背后的技术与付出，视野开阔，文笔生动，专业性强，兼具新闻报道的信息量和文学作品的可读性、价值性。</w:t>
            </w:r>
          </w:p>
          <w:p w14:paraId="31875D0E">
            <w:pPr>
              <w:spacing w:line="240" w:lineRule="exact"/>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3109BF00">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5DF11F77">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bl>
    <w:p w14:paraId="30942D31">
      <w:pPr>
        <w:rPr>
          <w:rFonts w:hint="eastAsia" w:ascii="楷体" w:hAnsi="楷体" w:eastAsia="楷体"/>
          <w:color w:val="000000"/>
          <w:sz w:val="28"/>
          <w:szCs w:val="28"/>
        </w:rPr>
        <w:sectPr>
          <w:headerReference r:id="rId3" w:type="default"/>
          <w:pgSz w:w="11906" w:h="16838"/>
          <w:pgMar w:top="1440" w:right="1800" w:bottom="1440" w:left="1800" w:header="851" w:footer="992" w:gutter="0"/>
          <w:cols w:space="425" w:num="1"/>
          <w:docGrid w:type="lines" w:linePitch="312" w:charSpace="0"/>
        </w:sectPr>
      </w:pPr>
    </w:p>
    <w:p w14:paraId="41B7EB54">
      <w:pPr>
        <w:tabs>
          <w:tab w:val="right" w:pos="8730"/>
        </w:tabs>
        <w:spacing w:line="580" w:lineRule="exact"/>
        <w:outlineLvl w:val="0"/>
        <w:rPr>
          <w:rFonts w:hint="eastAsia" w:ascii="黑体" w:hAnsi="黑体" w:eastAsia="黑体"/>
          <w:color w:val="000000"/>
          <w:szCs w:val="32"/>
        </w:rPr>
      </w:pPr>
      <w:r>
        <w:rPr>
          <w:rFonts w:hint="eastAsia" w:ascii="黑体" w:hAnsi="黑体" w:eastAsia="黑体"/>
          <w:color w:val="000000"/>
          <w:szCs w:val="32"/>
        </w:rPr>
        <w:t>附件5</w:t>
      </w:r>
    </w:p>
    <w:p w14:paraId="47CBBCB3">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中国新闻奖集纳式作品</w:t>
      </w:r>
      <w:r>
        <w:rPr>
          <w:rFonts w:ascii="方正小标宋简体" w:hAnsi="方正小标宋简体" w:eastAsia="方正小标宋简体" w:cs="方正小标宋简体"/>
          <w:color w:val="000000"/>
          <w:sz w:val="44"/>
          <w:szCs w:val="44"/>
        </w:rPr>
        <w:t>目</w:t>
      </w:r>
      <w:r>
        <w:rPr>
          <w:rFonts w:hint="eastAsia" w:ascii="方正小标宋简体" w:hAnsi="方正小标宋简体" w:eastAsia="方正小标宋简体" w:cs="方正小标宋简体"/>
          <w:color w:val="000000"/>
          <w:sz w:val="44"/>
          <w:szCs w:val="44"/>
        </w:rPr>
        <w:t>录</w:t>
      </w:r>
    </w:p>
    <w:tbl>
      <w:tblPr>
        <w:tblStyle w:val="4"/>
        <w:tblW w:w="9576"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85"/>
        <w:gridCol w:w="2470"/>
        <w:gridCol w:w="981"/>
        <w:gridCol w:w="992"/>
        <w:gridCol w:w="1373"/>
        <w:gridCol w:w="1310"/>
        <w:gridCol w:w="814"/>
      </w:tblGrid>
      <w:tr w14:paraId="6DEE5DE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636" w:type="dxa"/>
            <w:gridSpan w:val="2"/>
            <w:tcBorders>
              <w:bottom w:val="single" w:color="auto" w:sz="4" w:space="0"/>
            </w:tcBorders>
            <w:vAlign w:val="center"/>
          </w:tcPr>
          <w:p w14:paraId="6E12E7EE">
            <w:pPr>
              <w:snapToGrid w:val="0"/>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7940" w:type="dxa"/>
            <w:gridSpan w:val="6"/>
            <w:tcBorders>
              <w:bottom w:val="single" w:color="auto" w:sz="4" w:space="0"/>
            </w:tcBorders>
            <w:vAlign w:val="center"/>
          </w:tcPr>
          <w:p w14:paraId="66588B8C">
            <w:pPr>
              <w:snapToGrid w:val="0"/>
              <w:ind w:firstLine="56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《新型举国体制托举AG600“鲲龙”逐梦海天》</w:t>
            </w:r>
          </w:p>
        </w:tc>
      </w:tr>
      <w:tr w14:paraId="1DB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C94BA1C">
            <w:pPr>
              <w:snapToGrid w:val="0"/>
              <w:spacing w:line="34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序号</w:t>
            </w:r>
          </w:p>
        </w:tc>
        <w:tc>
          <w:tcPr>
            <w:tcW w:w="3255" w:type="dxa"/>
            <w:gridSpan w:val="2"/>
            <w:tcBorders>
              <w:top w:val="single" w:color="auto" w:sz="4" w:space="0"/>
              <w:left w:val="single" w:color="auto" w:sz="4" w:space="0"/>
              <w:bottom w:val="single" w:color="auto" w:sz="4" w:space="0"/>
              <w:right w:val="single" w:color="auto" w:sz="4" w:space="0"/>
            </w:tcBorders>
            <w:vAlign w:val="center"/>
          </w:tcPr>
          <w:p w14:paraId="20B4ACB3">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单篇作品标题</w:t>
            </w:r>
          </w:p>
        </w:tc>
        <w:tc>
          <w:tcPr>
            <w:tcW w:w="981" w:type="dxa"/>
            <w:tcBorders>
              <w:top w:val="single" w:color="auto" w:sz="4" w:space="0"/>
              <w:left w:val="single" w:color="auto" w:sz="4" w:space="0"/>
              <w:bottom w:val="single" w:color="auto" w:sz="4" w:space="0"/>
              <w:right w:val="single" w:color="auto" w:sz="4" w:space="0"/>
            </w:tcBorders>
            <w:vAlign w:val="center"/>
          </w:tcPr>
          <w:p w14:paraId="4E52117D">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体裁</w:t>
            </w:r>
          </w:p>
        </w:tc>
        <w:tc>
          <w:tcPr>
            <w:tcW w:w="992" w:type="dxa"/>
            <w:tcBorders>
              <w:top w:val="single" w:color="auto" w:sz="4" w:space="0"/>
              <w:left w:val="single" w:color="auto" w:sz="4" w:space="0"/>
              <w:bottom w:val="single" w:color="auto" w:sz="4" w:space="0"/>
              <w:right w:val="single" w:color="auto" w:sz="4" w:space="0"/>
            </w:tcBorders>
            <w:vAlign w:val="center"/>
          </w:tcPr>
          <w:p w14:paraId="3D75C6AC">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字数/时长</w:t>
            </w:r>
          </w:p>
        </w:tc>
        <w:tc>
          <w:tcPr>
            <w:tcW w:w="1373" w:type="dxa"/>
            <w:tcBorders>
              <w:top w:val="single" w:color="auto" w:sz="4" w:space="0"/>
              <w:left w:val="single" w:color="auto" w:sz="4" w:space="0"/>
              <w:bottom w:val="single" w:color="auto" w:sz="4" w:space="0"/>
              <w:right w:val="single" w:color="auto" w:sz="4" w:space="0"/>
            </w:tcBorders>
            <w:vAlign w:val="center"/>
          </w:tcPr>
          <w:p w14:paraId="6A537B4A">
            <w:pPr>
              <w:snapToGrid w:val="0"/>
              <w:spacing w:line="320" w:lineRule="exact"/>
              <w:jc w:val="center"/>
              <w:rPr>
                <w:rFonts w:hint="eastAsia" w:ascii="华文中宋" w:hAnsi="华文中宋" w:eastAsia="华文中宋"/>
                <w:color w:val="000000"/>
                <w:sz w:val="28"/>
                <w:szCs w:val="28"/>
              </w:rPr>
            </w:pPr>
            <w:r>
              <w:rPr>
                <w:rFonts w:ascii="华文中宋" w:hAnsi="华文中宋" w:eastAsia="华文中宋"/>
                <w:color w:val="000000"/>
                <w:sz w:val="28"/>
                <w:szCs w:val="28"/>
              </w:rPr>
              <w:t>刊播</w:t>
            </w:r>
            <w:r>
              <w:rPr>
                <w:rFonts w:hint="eastAsia" w:ascii="华文中宋" w:hAnsi="华文中宋" w:eastAsia="华文中宋"/>
                <w:color w:val="000000"/>
                <w:sz w:val="28"/>
                <w:szCs w:val="28"/>
              </w:rPr>
              <w:t>日期</w:t>
            </w:r>
          </w:p>
        </w:tc>
        <w:tc>
          <w:tcPr>
            <w:tcW w:w="1310" w:type="dxa"/>
            <w:tcBorders>
              <w:top w:val="single" w:color="auto" w:sz="4" w:space="0"/>
              <w:left w:val="single" w:color="auto" w:sz="4" w:space="0"/>
              <w:bottom w:val="single" w:color="auto" w:sz="4" w:space="0"/>
              <w:right w:val="single" w:color="auto" w:sz="4" w:space="0"/>
            </w:tcBorders>
            <w:vAlign w:val="center"/>
          </w:tcPr>
          <w:p w14:paraId="1FADB8AD">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发布端/账号/刊播版面</w:t>
            </w:r>
          </w:p>
        </w:tc>
        <w:tc>
          <w:tcPr>
            <w:tcW w:w="814" w:type="dxa"/>
            <w:tcBorders>
              <w:top w:val="single" w:color="auto" w:sz="4" w:space="0"/>
              <w:left w:val="single" w:color="auto" w:sz="4" w:space="0"/>
              <w:bottom w:val="single" w:color="auto" w:sz="4" w:space="0"/>
              <w:right w:val="single" w:color="auto" w:sz="4" w:space="0"/>
            </w:tcBorders>
            <w:vAlign w:val="center"/>
          </w:tcPr>
          <w:p w14:paraId="669282D0">
            <w:pPr>
              <w:snapToGrid w:val="0"/>
              <w:spacing w:line="320" w:lineRule="exact"/>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备注</w:t>
            </w:r>
          </w:p>
        </w:tc>
      </w:tr>
      <w:tr w14:paraId="3C19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851" w:type="dxa"/>
            <w:tcBorders>
              <w:top w:val="single" w:color="auto" w:sz="4" w:space="0"/>
              <w:bottom w:val="single" w:color="auto" w:sz="4" w:space="0"/>
            </w:tcBorders>
            <w:vAlign w:val="center"/>
          </w:tcPr>
          <w:p w14:paraId="351935BC">
            <w:pPr>
              <w:snapToGrid w:val="0"/>
              <w:jc w:val="center"/>
              <w:rPr>
                <w:rFonts w:hint="eastAsia" w:ascii="宋体" w:hAnsi="宋体"/>
                <w:color w:val="000000"/>
                <w:sz w:val="28"/>
                <w:szCs w:val="28"/>
              </w:rPr>
            </w:pPr>
            <w:r>
              <w:rPr>
                <w:rFonts w:hint="eastAsia" w:ascii="宋体" w:hAnsi="宋体"/>
                <w:color w:val="000000"/>
                <w:sz w:val="28"/>
                <w:szCs w:val="28"/>
              </w:rPr>
              <w:t>1</w:t>
            </w:r>
          </w:p>
        </w:tc>
        <w:tc>
          <w:tcPr>
            <w:tcW w:w="3255" w:type="dxa"/>
            <w:gridSpan w:val="2"/>
            <w:tcBorders>
              <w:top w:val="single" w:color="auto" w:sz="4" w:space="0"/>
              <w:bottom w:val="single" w:color="auto" w:sz="4" w:space="0"/>
            </w:tcBorders>
            <w:vAlign w:val="center"/>
          </w:tcPr>
          <w:p w14:paraId="232F499C">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《“从头开始”，领航创新》</w:t>
            </w:r>
          </w:p>
        </w:tc>
        <w:tc>
          <w:tcPr>
            <w:tcW w:w="981" w:type="dxa"/>
            <w:tcBorders>
              <w:top w:val="single" w:color="auto" w:sz="4" w:space="0"/>
              <w:bottom w:val="single" w:color="auto" w:sz="4" w:space="0"/>
            </w:tcBorders>
            <w:vAlign w:val="center"/>
          </w:tcPr>
          <w:p w14:paraId="6827B71E">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通讯</w:t>
            </w:r>
          </w:p>
        </w:tc>
        <w:tc>
          <w:tcPr>
            <w:tcW w:w="992" w:type="dxa"/>
            <w:tcBorders>
              <w:top w:val="single" w:color="auto" w:sz="4" w:space="0"/>
              <w:bottom w:val="single" w:color="auto" w:sz="4" w:space="0"/>
            </w:tcBorders>
            <w:vAlign w:val="center"/>
          </w:tcPr>
          <w:p w14:paraId="56A8E4BF">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1722字</w:t>
            </w:r>
          </w:p>
        </w:tc>
        <w:tc>
          <w:tcPr>
            <w:tcW w:w="1373" w:type="dxa"/>
            <w:tcBorders>
              <w:top w:val="single" w:color="auto" w:sz="4" w:space="0"/>
              <w:bottom w:val="single" w:color="auto" w:sz="4" w:space="0"/>
            </w:tcBorders>
            <w:vAlign w:val="center"/>
          </w:tcPr>
          <w:p w14:paraId="285C4DFA">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2025年4月22日</w:t>
            </w:r>
          </w:p>
        </w:tc>
        <w:tc>
          <w:tcPr>
            <w:tcW w:w="1310" w:type="dxa"/>
            <w:tcBorders>
              <w:top w:val="single" w:color="auto" w:sz="4" w:space="0"/>
              <w:bottom w:val="single" w:color="auto" w:sz="4" w:space="0"/>
            </w:tcBorders>
            <w:vAlign w:val="center"/>
          </w:tcPr>
          <w:p w14:paraId="78283A72">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5版、6版（专题版）</w:t>
            </w:r>
          </w:p>
        </w:tc>
        <w:tc>
          <w:tcPr>
            <w:tcW w:w="814" w:type="dxa"/>
            <w:tcBorders>
              <w:top w:val="single" w:color="auto" w:sz="4" w:space="0"/>
              <w:bottom w:val="single" w:color="auto" w:sz="4" w:space="0"/>
            </w:tcBorders>
            <w:vAlign w:val="center"/>
          </w:tcPr>
          <w:p w14:paraId="3A572452">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代表作</w:t>
            </w:r>
          </w:p>
        </w:tc>
      </w:tr>
      <w:tr w14:paraId="72CA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exact"/>
          <w:jc w:val="center"/>
        </w:trPr>
        <w:tc>
          <w:tcPr>
            <w:tcW w:w="851" w:type="dxa"/>
            <w:tcBorders>
              <w:bottom w:val="single" w:color="auto" w:sz="4" w:space="0"/>
            </w:tcBorders>
            <w:vAlign w:val="center"/>
          </w:tcPr>
          <w:p w14:paraId="2D4CFA9D">
            <w:pPr>
              <w:snapToGrid w:val="0"/>
              <w:jc w:val="center"/>
              <w:rPr>
                <w:rFonts w:hint="eastAsia" w:ascii="宋体" w:hAnsi="宋体"/>
                <w:color w:val="000000"/>
                <w:sz w:val="28"/>
                <w:szCs w:val="28"/>
              </w:rPr>
            </w:pPr>
            <w:r>
              <w:rPr>
                <w:rFonts w:hint="eastAsia" w:ascii="宋体" w:hAnsi="宋体"/>
                <w:color w:val="000000"/>
                <w:sz w:val="28"/>
                <w:szCs w:val="28"/>
              </w:rPr>
              <w:t>2</w:t>
            </w:r>
          </w:p>
        </w:tc>
        <w:tc>
          <w:tcPr>
            <w:tcW w:w="3255" w:type="dxa"/>
            <w:gridSpan w:val="2"/>
            <w:tcBorders>
              <w:bottom w:val="single" w:color="auto" w:sz="4" w:space="0"/>
            </w:tcBorders>
            <w:vAlign w:val="center"/>
          </w:tcPr>
          <w:p w14:paraId="5735CE46">
            <w:pPr>
              <w:widowControl/>
              <w:spacing w:line="240" w:lineRule="atLeast"/>
              <w:jc w:val="left"/>
            </w:pPr>
            <w:r>
              <w:rPr>
                <w:rFonts w:hint="eastAsia" w:ascii="华文中宋" w:hAnsi="华文中宋" w:eastAsia="华文中宋"/>
                <w:color w:val="000000"/>
                <w:sz w:val="24"/>
                <w:szCs w:val="24"/>
              </w:rPr>
              <w:t>《</w:t>
            </w:r>
            <w:r>
              <w:rPr>
                <w:rFonts w:ascii="华文中宋" w:hAnsi="华文中宋" w:eastAsia="华文中宋"/>
                <w:color w:val="000000"/>
                <w:sz w:val="24"/>
                <w:szCs w:val="24"/>
              </w:rPr>
              <w:t>碳丝为经 树脂为纬 织就“鲲龙”轻盈铠甲</w:t>
            </w:r>
            <w:r>
              <w:rPr>
                <w:rFonts w:hint="eastAsia" w:ascii="华文中宋" w:hAnsi="华文中宋" w:eastAsia="华文中宋"/>
                <w:color w:val="000000"/>
                <w:sz w:val="24"/>
                <w:szCs w:val="24"/>
              </w:rPr>
              <w:t>》</w:t>
            </w:r>
          </w:p>
          <w:p w14:paraId="7D3712A7">
            <w:pPr>
              <w:snapToGrid w:val="0"/>
              <w:rPr>
                <w:rFonts w:hint="eastAsia" w:ascii="华文中宋" w:hAnsi="华文中宋" w:eastAsia="华文中宋"/>
                <w:color w:val="000000"/>
                <w:sz w:val="28"/>
                <w:szCs w:val="28"/>
              </w:rPr>
            </w:pPr>
          </w:p>
        </w:tc>
        <w:tc>
          <w:tcPr>
            <w:tcW w:w="981" w:type="dxa"/>
            <w:tcBorders>
              <w:bottom w:val="single" w:color="auto" w:sz="4" w:space="0"/>
            </w:tcBorders>
            <w:vAlign w:val="center"/>
          </w:tcPr>
          <w:p w14:paraId="44D384A8">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通讯</w:t>
            </w:r>
          </w:p>
        </w:tc>
        <w:tc>
          <w:tcPr>
            <w:tcW w:w="992" w:type="dxa"/>
            <w:tcBorders>
              <w:bottom w:val="single" w:color="auto" w:sz="4" w:space="0"/>
            </w:tcBorders>
            <w:vAlign w:val="center"/>
          </w:tcPr>
          <w:p w14:paraId="019501C5">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1950字</w:t>
            </w:r>
          </w:p>
        </w:tc>
        <w:tc>
          <w:tcPr>
            <w:tcW w:w="1373" w:type="dxa"/>
            <w:tcBorders>
              <w:bottom w:val="single" w:color="auto" w:sz="4" w:space="0"/>
            </w:tcBorders>
            <w:vAlign w:val="center"/>
          </w:tcPr>
          <w:p w14:paraId="4C7182C9">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2025年4月22日</w:t>
            </w:r>
          </w:p>
        </w:tc>
        <w:tc>
          <w:tcPr>
            <w:tcW w:w="1310" w:type="dxa"/>
            <w:tcBorders>
              <w:bottom w:val="single" w:color="auto" w:sz="4" w:space="0"/>
            </w:tcBorders>
            <w:vAlign w:val="center"/>
          </w:tcPr>
          <w:p w14:paraId="39B336E8">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5版、6版（专题版）</w:t>
            </w:r>
          </w:p>
        </w:tc>
        <w:tc>
          <w:tcPr>
            <w:tcW w:w="814" w:type="dxa"/>
            <w:tcBorders>
              <w:bottom w:val="single" w:color="auto" w:sz="4" w:space="0"/>
            </w:tcBorders>
            <w:vAlign w:val="center"/>
          </w:tcPr>
          <w:p w14:paraId="2B4E3813">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代表作</w:t>
            </w:r>
          </w:p>
        </w:tc>
      </w:tr>
      <w:tr w14:paraId="4553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jc w:val="center"/>
        </w:trPr>
        <w:tc>
          <w:tcPr>
            <w:tcW w:w="851" w:type="dxa"/>
            <w:tcBorders>
              <w:top w:val="single" w:color="auto" w:sz="4" w:space="0"/>
              <w:left w:val="single" w:color="auto" w:sz="4" w:space="0"/>
              <w:bottom w:val="single" w:color="auto" w:sz="4" w:space="0"/>
              <w:right w:val="single" w:color="auto" w:sz="4" w:space="0"/>
            </w:tcBorders>
            <w:vAlign w:val="center"/>
          </w:tcPr>
          <w:p w14:paraId="4BEB4E1E">
            <w:pPr>
              <w:snapToGrid w:val="0"/>
              <w:jc w:val="center"/>
              <w:rPr>
                <w:rFonts w:hint="eastAsia" w:ascii="宋体" w:hAnsi="宋体"/>
                <w:color w:val="000000"/>
                <w:sz w:val="28"/>
                <w:szCs w:val="28"/>
              </w:rPr>
            </w:pPr>
            <w:r>
              <w:rPr>
                <w:rFonts w:hint="eastAsia" w:ascii="宋体" w:hAnsi="宋体"/>
                <w:color w:val="000000"/>
                <w:sz w:val="28"/>
                <w:szCs w:val="28"/>
              </w:rPr>
              <w:t>3</w:t>
            </w:r>
          </w:p>
        </w:tc>
        <w:tc>
          <w:tcPr>
            <w:tcW w:w="3255" w:type="dxa"/>
            <w:gridSpan w:val="2"/>
            <w:tcBorders>
              <w:top w:val="single" w:color="auto" w:sz="4" w:space="0"/>
              <w:left w:val="single" w:color="auto" w:sz="4" w:space="0"/>
              <w:bottom w:val="single" w:color="auto" w:sz="4" w:space="0"/>
              <w:right w:val="single" w:color="auto" w:sz="4" w:space="0"/>
            </w:tcBorders>
            <w:vAlign w:val="center"/>
          </w:tcPr>
          <w:p w14:paraId="3F317DA7">
            <w:pPr>
              <w:widowControl/>
              <w:jc w:val="left"/>
              <w:rPr>
                <w:rFonts w:ascii="华文中宋" w:hAnsi="华文中宋" w:eastAsia="华文中宋"/>
                <w:color w:val="000000"/>
                <w:sz w:val="24"/>
                <w:szCs w:val="24"/>
              </w:rPr>
            </w:pPr>
            <w:r>
              <w:rPr>
                <w:rFonts w:hint="eastAsia" w:ascii="华文中宋" w:hAnsi="华文中宋" w:eastAsia="华文中宋"/>
                <w:color w:val="000000"/>
                <w:sz w:val="24"/>
                <w:szCs w:val="24"/>
              </w:rPr>
              <w:t>《</w:t>
            </w:r>
            <w:r>
              <w:rPr>
                <w:rFonts w:ascii="华文中宋" w:hAnsi="华文中宋" w:eastAsia="华文中宋"/>
                <w:color w:val="000000"/>
                <w:sz w:val="24"/>
                <w:szCs w:val="24"/>
              </w:rPr>
              <w:t>“鲲瞳”为眸，探索中国民机</w:t>
            </w:r>
            <w:r>
              <w:rPr>
                <w:rFonts w:hint="eastAsia" w:ascii="华文中宋" w:hAnsi="华文中宋" w:eastAsia="华文中宋"/>
                <w:color w:val="000000"/>
                <w:sz w:val="24"/>
                <w:szCs w:val="24"/>
              </w:rPr>
              <w:t>创新之路》</w:t>
            </w:r>
          </w:p>
          <w:p w14:paraId="1D20B555">
            <w:pPr>
              <w:snapToGrid w:val="0"/>
              <w:rPr>
                <w:rFonts w:hint="eastAsia" w:ascii="华文中宋" w:hAnsi="华文中宋" w:eastAsia="华文中宋"/>
                <w:color w:val="000000"/>
                <w:sz w:val="28"/>
                <w:szCs w:val="28"/>
              </w:rPr>
            </w:pPr>
          </w:p>
        </w:tc>
        <w:tc>
          <w:tcPr>
            <w:tcW w:w="981" w:type="dxa"/>
            <w:tcBorders>
              <w:top w:val="single" w:color="auto" w:sz="4" w:space="0"/>
              <w:left w:val="single" w:color="auto" w:sz="4" w:space="0"/>
              <w:bottom w:val="single" w:color="auto" w:sz="4" w:space="0"/>
              <w:right w:val="single" w:color="auto" w:sz="4" w:space="0"/>
            </w:tcBorders>
            <w:vAlign w:val="center"/>
          </w:tcPr>
          <w:p w14:paraId="0AD94EF4">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通讯</w:t>
            </w:r>
          </w:p>
        </w:tc>
        <w:tc>
          <w:tcPr>
            <w:tcW w:w="992" w:type="dxa"/>
            <w:tcBorders>
              <w:top w:val="single" w:color="auto" w:sz="4" w:space="0"/>
              <w:left w:val="single" w:color="auto" w:sz="4" w:space="0"/>
              <w:bottom w:val="single" w:color="auto" w:sz="4" w:space="0"/>
              <w:right w:val="single" w:color="auto" w:sz="4" w:space="0"/>
            </w:tcBorders>
            <w:vAlign w:val="center"/>
          </w:tcPr>
          <w:p w14:paraId="4DB6AEA5">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1956字</w:t>
            </w:r>
          </w:p>
        </w:tc>
        <w:tc>
          <w:tcPr>
            <w:tcW w:w="1373" w:type="dxa"/>
            <w:tcBorders>
              <w:top w:val="single" w:color="auto" w:sz="4" w:space="0"/>
              <w:left w:val="single" w:color="auto" w:sz="4" w:space="0"/>
              <w:bottom w:val="single" w:color="auto" w:sz="4" w:space="0"/>
              <w:right w:val="single" w:color="auto" w:sz="4" w:space="0"/>
            </w:tcBorders>
            <w:vAlign w:val="center"/>
          </w:tcPr>
          <w:p w14:paraId="7456DF22">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2025年4月22日</w:t>
            </w:r>
          </w:p>
        </w:tc>
        <w:tc>
          <w:tcPr>
            <w:tcW w:w="1310" w:type="dxa"/>
            <w:tcBorders>
              <w:top w:val="single" w:color="auto" w:sz="4" w:space="0"/>
              <w:left w:val="single" w:color="auto" w:sz="4" w:space="0"/>
              <w:bottom w:val="single" w:color="auto" w:sz="4" w:space="0"/>
              <w:right w:val="single" w:color="auto" w:sz="4" w:space="0"/>
            </w:tcBorders>
            <w:vAlign w:val="center"/>
          </w:tcPr>
          <w:p w14:paraId="43BB0A78">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5版、6版（专题版）</w:t>
            </w:r>
          </w:p>
        </w:tc>
        <w:tc>
          <w:tcPr>
            <w:tcW w:w="814" w:type="dxa"/>
            <w:tcBorders>
              <w:top w:val="single" w:color="auto" w:sz="4" w:space="0"/>
              <w:left w:val="single" w:color="auto" w:sz="4" w:space="0"/>
              <w:bottom w:val="single" w:color="auto" w:sz="4" w:space="0"/>
              <w:right w:val="single" w:color="auto" w:sz="4" w:space="0"/>
            </w:tcBorders>
            <w:vAlign w:val="center"/>
          </w:tcPr>
          <w:p w14:paraId="798D85D1">
            <w:pPr>
              <w:snapToGrid w:val="0"/>
              <w:rPr>
                <w:rFonts w:hint="eastAsia" w:ascii="华文中宋" w:hAnsi="华文中宋" w:eastAsia="华文中宋"/>
                <w:color w:val="000000"/>
                <w:sz w:val="24"/>
                <w:szCs w:val="24"/>
              </w:rPr>
            </w:pPr>
          </w:p>
        </w:tc>
      </w:tr>
      <w:tr w14:paraId="5C5F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exact"/>
          <w:jc w:val="center"/>
        </w:trPr>
        <w:tc>
          <w:tcPr>
            <w:tcW w:w="851" w:type="dxa"/>
            <w:tcBorders>
              <w:top w:val="single" w:color="auto" w:sz="4" w:space="0"/>
            </w:tcBorders>
            <w:vAlign w:val="center"/>
          </w:tcPr>
          <w:p w14:paraId="32B4B12F">
            <w:pPr>
              <w:snapToGrid w:val="0"/>
              <w:jc w:val="center"/>
              <w:rPr>
                <w:rFonts w:hint="eastAsia" w:ascii="宋体" w:hAnsi="宋体"/>
                <w:color w:val="000000"/>
                <w:sz w:val="28"/>
                <w:szCs w:val="28"/>
              </w:rPr>
            </w:pPr>
            <w:r>
              <w:rPr>
                <w:rFonts w:hint="eastAsia" w:ascii="宋体" w:hAnsi="宋体"/>
                <w:color w:val="000000"/>
                <w:sz w:val="28"/>
                <w:szCs w:val="28"/>
              </w:rPr>
              <w:t>4</w:t>
            </w:r>
          </w:p>
        </w:tc>
        <w:tc>
          <w:tcPr>
            <w:tcW w:w="3255" w:type="dxa"/>
            <w:gridSpan w:val="2"/>
            <w:tcBorders>
              <w:top w:val="single" w:color="auto" w:sz="4" w:space="0"/>
            </w:tcBorders>
            <w:vAlign w:val="center"/>
          </w:tcPr>
          <w:p w14:paraId="58FE2F70">
            <w:pPr>
              <w:widowControl/>
              <w:jc w:val="left"/>
              <w:rPr>
                <w:rFonts w:hint="eastAsia" w:ascii="华文中宋" w:hAnsi="华文中宋" w:eastAsia="华文中宋"/>
                <w:color w:val="000000"/>
                <w:sz w:val="24"/>
                <w:szCs w:val="24"/>
              </w:rPr>
            </w:pPr>
            <w:r>
              <w:rPr>
                <w:rFonts w:hint="eastAsia" w:ascii="华文中宋" w:hAnsi="华文中宋" w:eastAsia="华文中宋"/>
                <w:color w:val="000000"/>
                <w:sz w:val="24"/>
                <w:szCs w:val="24"/>
              </w:rPr>
              <w:t>《挺起中国民机综合航电系统的自主脊梁》</w:t>
            </w:r>
          </w:p>
        </w:tc>
        <w:tc>
          <w:tcPr>
            <w:tcW w:w="981" w:type="dxa"/>
            <w:tcBorders>
              <w:top w:val="single" w:color="auto" w:sz="4" w:space="0"/>
            </w:tcBorders>
            <w:vAlign w:val="center"/>
          </w:tcPr>
          <w:p w14:paraId="2A6ED3F3">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通讯</w:t>
            </w:r>
          </w:p>
        </w:tc>
        <w:tc>
          <w:tcPr>
            <w:tcW w:w="992" w:type="dxa"/>
            <w:tcBorders>
              <w:top w:val="single" w:color="auto" w:sz="4" w:space="0"/>
            </w:tcBorders>
            <w:vAlign w:val="center"/>
          </w:tcPr>
          <w:p w14:paraId="78C5D935">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2136字</w:t>
            </w:r>
          </w:p>
        </w:tc>
        <w:tc>
          <w:tcPr>
            <w:tcW w:w="1373" w:type="dxa"/>
            <w:tcBorders>
              <w:top w:val="single" w:color="auto" w:sz="4" w:space="0"/>
            </w:tcBorders>
            <w:vAlign w:val="center"/>
          </w:tcPr>
          <w:p w14:paraId="592AAE7A">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2025年4月22日</w:t>
            </w:r>
          </w:p>
        </w:tc>
        <w:tc>
          <w:tcPr>
            <w:tcW w:w="1310" w:type="dxa"/>
            <w:tcBorders>
              <w:top w:val="single" w:color="auto" w:sz="4" w:space="0"/>
            </w:tcBorders>
            <w:vAlign w:val="center"/>
          </w:tcPr>
          <w:p w14:paraId="557471A2">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5版、6版（专题版）</w:t>
            </w:r>
          </w:p>
        </w:tc>
        <w:tc>
          <w:tcPr>
            <w:tcW w:w="814" w:type="dxa"/>
            <w:tcBorders>
              <w:top w:val="single" w:color="auto" w:sz="4" w:space="0"/>
            </w:tcBorders>
            <w:vAlign w:val="center"/>
          </w:tcPr>
          <w:p w14:paraId="6F384298">
            <w:pPr>
              <w:snapToGrid w:val="0"/>
              <w:rPr>
                <w:rFonts w:hint="eastAsia" w:ascii="华文中宋" w:hAnsi="华文中宋" w:eastAsia="华文中宋"/>
                <w:color w:val="000000"/>
                <w:sz w:val="24"/>
                <w:szCs w:val="24"/>
              </w:rPr>
            </w:pPr>
          </w:p>
        </w:tc>
      </w:tr>
      <w:tr w14:paraId="3ED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exact"/>
          <w:jc w:val="center"/>
        </w:trPr>
        <w:tc>
          <w:tcPr>
            <w:tcW w:w="851" w:type="dxa"/>
            <w:vAlign w:val="center"/>
          </w:tcPr>
          <w:p w14:paraId="5D78816A">
            <w:pPr>
              <w:snapToGrid w:val="0"/>
              <w:jc w:val="center"/>
              <w:rPr>
                <w:rFonts w:hint="eastAsia" w:ascii="宋体" w:hAnsi="宋体"/>
                <w:color w:val="000000"/>
                <w:sz w:val="28"/>
                <w:szCs w:val="28"/>
              </w:rPr>
            </w:pPr>
            <w:r>
              <w:rPr>
                <w:rFonts w:hint="eastAsia" w:ascii="宋体" w:hAnsi="宋体"/>
                <w:color w:val="000000"/>
                <w:sz w:val="28"/>
                <w:szCs w:val="28"/>
              </w:rPr>
              <w:t>5</w:t>
            </w:r>
          </w:p>
        </w:tc>
        <w:tc>
          <w:tcPr>
            <w:tcW w:w="3255" w:type="dxa"/>
            <w:gridSpan w:val="2"/>
            <w:vAlign w:val="center"/>
          </w:tcPr>
          <w:p w14:paraId="7309B07F">
            <w:pPr>
              <w:widowControl/>
              <w:jc w:val="left"/>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《“鲲龙”：对海浪比个“V”》</w:t>
            </w:r>
          </w:p>
        </w:tc>
        <w:tc>
          <w:tcPr>
            <w:tcW w:w="981" w:type="dxa"/>
            <w:vAlign w:val="center"/>
          </w:tcPr>
          <w:p w14:paraId="55C4F50B">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通讯</w:t>
            </w:r>
          </w:p>
        </w:tc>
        <w:tc>
          <w:tcPr>
            <w:tcW w:w="992" w:type="dxa"/>
            <w:vAlign w:val="center"/>
          </w:tcPr>
          <w:p w14:paraId="7FF9790A">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2129字</w:t>
            </w:r>
          </w:p>
        </w:tc>
        <w:tc>
          <w:tcPr>
            <w:tcW w:w="1373" w:type="dxa"/>
            <w:vAlign w:val="center"/>
          </w:tcPr>
          <w:p w14:paraId="20A570DE">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2025年4月22日</w:t>
            </w:r>
          </w:p>
        </w:tc>
        <w:tc>
          <w:tcPr>
            <w:tcW w:w="1310" w:type="dxa"/>
            <w:vAlign w:val="center"/>
          </w:tcPr>
          <w:p w14:paraId="05E7AE6C">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5版、6版（专题版）</w:t>
            </w:r>
          </w:p>
        </w:tc>
        <w:tc>
          <w:tcPr>
            <w:tcW w:w="814" w:type="dxa"/>
            <w:vAlign w:val="center"/>
          </w:tcPr>
          <w:p w14:paraId="241B1A6F">
            <w:pPr>
              <w:snapToGrid w:val="0"/>
              <w:rPr>
                <w:rFonts w:hint="eastAsia" w:ascii="华文中宋" w:hAnsi="华文中宋" w:eastAsia="华文中宋"/>
                <w:color w:val="000000"/>
                <w:sz w:val="24"/>
                <w:szCs w:val="24"/>
              </w:rPr>
            </w:pPr>
          </w:p>
        </w:tc>
      </w:tr>
      <w:tr w14:paraId="3D16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exact"/>
          <w:jc w:val="center"/>
        </w:trPr>
        <w:tc>
          <w:tcPr>
            <w:tcW w:w="851" w:type="dxa"/>
            <w:vAlign w:val="center"/>
          </w:tcPr>
          <w:p w14:paraId="1676D543">
            <w:pPr>
              <w:snapToGrid w:val="0"/>
              <w:jc w:val="center"/>
              <w:rPr>
                <w:rFonts w:hint="eastAsia" w:ascii="宋体" w:hAnsi="宋体"/>
                <w:color w:val="000000"/>
                <w:sz w:val="28"/>
                <w:szCs w:val="28"/>
              </w:rPr>
            </w:pPr>
            <w:r>
              <w:rPr>
                <w:rFonts w:hint="eastAsia" w:ascii="宋体" w:hAnsi="宋体"/>
                <w:color w:val="000000"/>
                <w:sz w:val="28"/>
                <w:szCs w:val="28"/>
              </w:rPr>
              <w:t>6</w:t>
            </w:r>
          </w:p>
        </w:tc>
        <w:tc>
          <w:tcPr>
            <w:tcW w:w="3255" w:type="dxa"/>
            <w:gridSpan w:val="2"/>
            <w:vAlign w:val="center"/>
          </w:tcPr>
          <w:p w14:paraId="67E01BD1">
            <w:pPr>
              <w:widowControl/>
              <w:jc w:val="left"/>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《“鲲龙”砺爪 标注“中国支点” 》</w:t>
            </w:r>
          </w:p>
        </w:tc>
        <w:tc>
          <w:tcPr>
            <w:tcW w:w="981" w:type="dxa"/>
            <w:vAlign w:val="center"/>
          </w:tcPr>
          <w:p w14:paraId="1B980EC6">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通讯</w:t>
            </w:r>
          </w:p>
        </w:tc>
        <w:tc>
          <w:tcPr>
            <w:tcW w:w="992" w:type="dxa"/>
            <w:vAlign w:val="center"/>
          </w:tcPr>
          <w:p w14:paraId="337B8059">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2056字</w:t>
            </w:r>
          </w:p>
        </w:tc>
        <w:tc>
          <w:tcPr>
            <w:tcW w:w="1373" w:type="dxa"/>
            <w:vAlign w:val="center"/>
          </w:tcPr>
          <w:p w14:paraId="23F79593">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2025年4月22日</w:t>
            </w:r>
          </w:p>
        </w:tc>
        <w:tc>
          <w:tcPr>
            <w:tcW w:w="1310" w:type="dxa"/>
            <w:vAlign w:val="center"/>
          </w:tcPr>
          <w:p w14:paraId="6C31E791">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5版、6版（专题版）</w:t>
            </w:r>
          </w:p>
        </w:tc>
        <w:tc>
          <w:tcPr>
            <w:tcW w:w="814" w:type="dxa"/>
            <w:vAlign w:val="center"/>
          </w:tcPr>
          <w:p w14:paraId="518D843C">
            <w:pPr>
              <w:snapToGrid w:val="0"/>
              <w:rPr>
                <w:rFonts w:hint="eastAsia" w:ascii="华文中宋" w:hAnsi="华文中宋" w:eastAsia="华文中宋"/>
                <w:color w:val="000000"/>
                <w:sz w:val="24"/>
                <w:szCs w:val="24"/>
              </w:rPr>
            </w:pPr>
            <w:r>
              <w:rPr>
                <w:rFonts w:hint="eastAsia" w:ascii="华文中宋" w:hAnsi="华文中宋" w:eastAsia="华文中宋"/>
                <w:color w:val="000000"/>
                <w:sz w:val="24"/>
                <w:szCs w:val="24"/>
              </w:rPr>
              <w:t>代表作</w:t>
            </w:r>
          </w:p>
        </w:tc>
      </w:tr>
      <w:tr w14:paraId="025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jc w:val="center"/>
        </w:trPr>
        <w:tc>
          <w:tcPr>
            <w:tcW w:w="9576" w:type="dxa"/>
            <w:gridSpan w:val="8"/>
            <w:tcBorders>
              <w:left w:val="nil"/>
              <w:bottom w:val="nil"/>
              <w:right w:val="nil"/>
            </w:tcBorders>
            <w:vAlign w:val="center"/>
          </w:tcPr>
          <w:p w14:paraId="6B78739B">
            <w:pPr>
              <w:spacing w:line="360" w:lineRule="exact"/>
              <w:rPr>
                <w:rFonts w:hint="eastAsia" w:ascii="楷体" w:hAnsi="楷体" w:eastAsia="楷体"/>
                <w:color w:val="000000"/>
                <w:sz w:val="28"/>
              </w:rPr>
            </w:pPr>
          </w:p>
          <w:p w14:paraId="1079A02C">
            <w:pPr>
              <w:spacing w:line="360" w:lineRule="exact"/>
              <w:rPr>
                <w:rFonts w:hint="eastAsia" w:ascii="楷体" w:hAnsi="楷体" w:eastAsia="楷体"/>
                <w:color w:val="000000"/>
                <w:sz w:val="28"/>
              </w:rPr>
            </w:pPr>
            <w:r>
              <w:rPr>
                <w:rFonts w:hint="eastAsia" w:ascii="楷体" w:hAnsi="楷体" w:eastAsia="楷体"/>
                <w:color w:val="000000"/>
                <w:sz w:val="28"/>
              </w:rPr>
              <w:t>1.选择集纳式作品中的12件单篇作品填报（少于12篇的填报全部作品），附在参评推荐表后。</w:t>
            </w:r>
          </w:p>
          <w:p w14:paraId="3BB5D378">
            <w:pPr>
              <w:spacing w:line="360" w:lineRule="exact"/>
              <w:rPr>
                <w:rFonts w:hint="eastAsia" w:ascii="楷体" w:hAnsi="楷体" w:eastAsia="楷体"/>
                <w:color w:val="000000"/>
                <w:sz w:val="28"/>
              </w:rPr>
            </w:pPr>
            <w:r>
              <w:rPr>
                <w:rFonts w:hint="eastAsia" w:ascii="楷体" w:hAnsi="楷体" w:eastAsia="楷体"/>
                <w:color w:val="000000"/>
                <w:sz w:val="28"/>
              </w:rPr>
              <w:t>2.须选择3篇代表作，并在“备注”栏内注明“代表作”字样。</w:t>
            </w:r>
          </w:p>
          <w:p w14:paraId="1528BF08">
            <w:pPr>
              <w:spacing w:line="360" w:lineRule="exact"/>
              <w:rPr>
                <w:rFonts w:hint="eastAsia" w:ascii="楷体" w:hAnsi="楷体" w:eastAsia="楷体"/>
                <w:color w:val="000000"/>
                <w:sz w:val="28"/>
              </w:rPr>
            </w:pPr>
            <w:r>
              <w:rPr>
                <w:rFonts w:hint="eastAsia" w:ascii="楷体" w:hAnsi="楷体" w:eastAsia="楷体"/>
                <w:color w:val="000000"/>
                <w:sz w:val="28"/>
              </w:rPr>
              <w:t>3.填报作品按发表时间排序。</w:t>
            </w:r>
          </w:p>
          <w:p w14:paraId="646635A5">
            <w:pPr>
              <w:spacing w:line="360" w:lineRule="exact"/>
              <w:rPr>
                <w:rFonts w:hint="eastAsia" w:ascii="楷体" w:hAnsi="楷体" w:eastAsia="楷体"/>
                <w:color w:val="000000"/>
                <w:sz w:val="28"/>
              </w:rPr>
            </w:pPr>
            <w:r>
              <w:rPr>
                <w:rFonts w:hint="eastAsia" w:ascii="楷体" w:hAnsi="楷体" w:eastAsia="楷体"/>
                <w:color w:val="000000"/>
                <w:sz w:val="28"/>
              </w:rPr>
              <w:t>4.文字内容填报字数，音视频内容填报时长。</w:t>
            </w:r>
          </w:p>
          <w:p w14:paraId="2ED73806">
            <w:pPr>
              <w:spacing w:line="360" w:lineRule="exact"/>
              <w:rPr>
                <w:rFonts w:hint="eastAsia" w:ascii="楷体" w:hAnsi="楷体" w:eastAsia="楷体"/>
                <w:color w:val="000000"/>
                <w:sz w:val="28"/>
              </w:rPr>
            </w:pPr>
            <w:r>
              <w:rPr>
                <w:rFonts w:hint="eastAsia" w:ascii="楷体" w:hAnsi="楷体" w:eastAsia="楷体"/>
                <w:color w:val="000000"/>
                <w:sz w:val="28"/>
              </w:rPr>
              <w:t>5.广播、电视、新媒体作品在“</w:t>
            </w:r>
            <w:r>
              <w:rPr>
                <w:rFonts w:ascii="楷体" w:hAnsi="楷体" w:eastAsia="楷体"/>
                <w:color w:val="000000"/>
                <w:sz w:val="28"/>
              </w:rPr>
              <w:t>刊播</w:t>
            </w:r>
            <w:r>
              <w:rPr>
                <w:rFonts w:hint="eastAsia" w:ascii="楷体" w:hAnsi="楷体" w:eastAsia="楷体"/>
                <w:color w:val="000000"/>
                <w:sz w:val="28"/>
              </w:rPr>
              <w:t>日期”栏内填报刊播日期及时间；在“刊播版面”栏内填报作品刊播频道、频率、账号和栏目名称。</w:t>
            </w:r>
          </w:p>
          <w:p w14:paraId="62FF9737">
            <w:pPr>
              <w:spacing w:line="380" w:lineRule="exact"/>
              <w:rPr>
                <w:rFonts w:hint="eastAsia" w:ascii="楷体" w:hAnsi="楷体" w:eastAsia="楷体"/>
                <w:color w:val="000000"/>
                <w:sz w:val="28"/>
              </w:rPr>
            </w:pPr>
            <w:r>
              <w:rPr>
                <w:rFonts w:hint="eastAsia" w:ascii="楷体" w:hAnsi="楷体" w:eastAsia="楷体"/>
                <w:color w:val="000000"/>
                <w:sz w:val="28"/>
              </w:rPr>
              <w:t>此表可从中国记协网www.zgjx.cn下载。</w:t>
            </w:r>
          </w:p>
        </w:tc>
      </w:tr>
    </w:tbl>
    <w:p w14:paraId="7503E152">
      <w:pPr>
        <w:rPr>
          <w:rFonts w:hint="eastAsia" w:ascii="楷体" w:hAnsi="楷体" w:eastAsia="楷体"/>
          <w:color w:val="000000"/>
          <w:sz w:val="28"/>
          <w:szCs w:val="28"/>
        </w:rPr>
        <w:sectPr>
          <w:pgSz w:w="11906" w:h="16838"/>
          <w:pgMar w:top="1440" w:right="1800" w:bottom="1440" w:left="1800" w:header="851" w:footer="992" w:gutter="0"/>
          <w:cols w:space="425" w:num="1"/>
          <w:docGrid w:type="lines" w:linePitch="312" w:charSpace="0"/>
        </w:sectPr>
      </w:pPr>
    </w:p>
    <w:p w14:paraId="55554173"/>
    <w:p w14:paraId="4C037C2B">
      <w:pPr>
        <w:jc w:val="center"/>
        <w:rPr>
          <w:rFonts w:ascii="黑体" w:hAnsi="黑体" w:eastAsia="黑体"/>
          <w:b/>
          <w:bCs/>
          <w:sz w:val="36"/>
          <w:szCs w:val="36"/>
          <w:lang w:val="en-US"/>
        </w:rPr>
      </w:pPr>
      <w:r>
        <w:rPr>
          <w:rFonts w:ascii="黑体" w:hAnsi="黑体" w:eastAsia="黑体"/>
          <w:b/>
          <w:bCs/>
          <w:sz w:val="36"/>
          <w:szCs w:val="36"/>
          <w:lang w:val="en-US"/>
        </w:rPr>
        <w:t>“从头开始”，领航创新</w:t>
      </w:r>
    </w:p>
    <w:p w14:paraId="137F170F">
      <w:pPr>
        <w:jc w:val="center"/>
        <w:rPr>
          <w:rFonts w:hint="eastAsia" w:ascii="黑体" w:hAnsi="黑体" w:eastAsia="黑体"/>
          <w:b/>
          <w:bCs/>
          <w:sz w:val="36"/>
          <w:szCs w:val="36"/>
          <w:lang w:val="en-US"/>
        </w:rPr>
      </w:pPr>
    </w:p>
    <w:p w14:paraId="637ED213">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AG600的研制“从头开始”，历经陆上首飞、水上首飞、海上首飞成功，所走过的每一步，都浸润着创新基因。</w:t>
      </w:r>
    </w:p>
    <w:p w14:paraId="327E2FD8">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我们来到位于四川成都、有着“机头专业户”之称的中国航空工业集团成飞民机，探访AG600的机头是如何一步步从图纸变为现实的。</w:t>
      </w:r>
    </w:p>
    <w:p w14:paraId="0B8E3610">
      <w:pPr>
        <w:ind w:firstLine="643" w:firstLineChars="200"/>
        <w:rPr>
          <w:rFonts w:hint="eastAsia" w:ascii="仿宋_GB2312" w:eastAsia="仿宋_GB2312"/>
          <w:b/>
          <w:bCs/>
          <w:sz w:val="32"/>
          <w:szCs w:val="32"/>
          <w:lang w:val="en-US"/>
        </w:rPr>
      </w:pPr>
      <w:r>
        <w:rPr>
          <w:rFonts w:hint="eastAsia" w:ascii="仿宋_GB2312" w:eastAsia="仿宋_GB2312"/>
          <w:b/>
          <w:bCs/>
          <w:sz w:val="32"/>
          <w:szCs w:val="32"/>
          <w:lang w:val="en-US"/>
        </w:rPr>
        <w:t>极限挑战——万颗零件共筑“空中船首”</w:t>
      </w:r>
    </w:p>
    <w:p w14:paraId="067A52F3">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AG600飞机水陆两栖的独特设计，总能让初见者驻足惊叹。尤其是那标志性的机头，称得上是航空工业史上最特别的机头。它占全机长度的三分之一，共由8391个精密零件和27.6万颗连接件组成。庞大的体型和庞大的数据，意味着前所未有的制造难度。</w:t>
      </w:r>
    </w:p>
    <w:p w14:paraId="579357EA">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AG600机头位于I级气动区，制造精度要求极高。11.2米长、3.2米宽、5.3米高的机头外轮廓型值公差要控制在±0.5毫米的范围内。这就像要求一位画师在长卷上作画时，每笔每划的误差不能超过头发丝粗细。”成飞民机AG600项目经理张晓林用朴素的比喻道出了航空人所追求的极致。</w:t>
      </w:r>
    </w:p>
    <w:p w14:paraId="0E6EE2A6">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不同于常规机型，AG600机头下部是船体异形结构，呈多曲变截面形状，使得部分零件体量大、外形扭曲，需单独定制；成型工序也由平时的一次成型增加到两次甚至是四次成型；下方船体部位操作空间极度压缩，船体的“V”型结构贯穿整个机头，“V”型区域形成的锐角，也对安装区域构成了挑战。</w:t>
      </w:r>
    </w:p>
    <w:p w14:paraId="5DB1AAA0">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然而，面临着种种挑战，成飞民机AG600项目团队仅用8个月就完成了从设计发图到首架机头交付的全流程，较C919机头研制速度提升了1/3，创造了国际机头研制周期的最短纪录。</w:t>
      </w:r>
    </w:p>
    <w:p w14:paraId="0299B73D">
      <w:pPr>
        <w:ind w:firstLine="643" w:firstLineChars="200"/>
        <w:rPr>
          <w:rFonts w:hint="eastAsia" w:ascii="仿宋_GB2312" w:eastAsia="仿宋_GB2312"/>
          <w:b/>
          <w:bCs/>
          <w:sz w:val="32"/>
          <w:szCs w:val="32"/>
          <w:lang w:val="en-US"/>
        </w:rPr>
      </w:pPr>
      <w:r>
        <w:rPr>
          <w:rFonts w:hint="eastAsia" w:ascii="仿宋_GB2312" w:eastAsia="仿宋_GB2312"/>
          <w:b/>
          <w:bCs/>
          <w:sz w:val="32"/>
          <w:szCs w:val="32"/>
          <w:lang w:val="en-US"/>
        </w:rPr>
        <w:t>创新突围——技术攻坚引领研制新范式</w:t>
      </w:r>
    </w:p>
    <w:p w14:paraId="405CA24B">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成飞民机AG600项目团队平均年龄仅有30岁，创造纪录的背后，是长期积淀的一系列开创性的技术突破与管理创新。</w:t>
      </w:r>
    </w:p>
    <w:p w14:paraId="5130A36C">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机头研制就像搭积木，只是要复杂很多倍。”成飞民机AG600项目主任丁峰告诉记者，“‘设计制造一体化’工作模式和‘孔系定位装配技术’的创新突破使我们的研制周期极大缩短，并确保产品质量是同时期同类项目中最好的。”</w:t>
      </w:r>
    </w:p>
    <w:p w14:paraId="0850AC63">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“传统的飞机研制就像接力赛，设计完成后才交给制造团队。而我们率先打破了这种串行模式，让制造专家从一开始就参与进来。”张晓林这样描述“设计制造一体化”模式的核心理念。</w:t>
      </w:r>
    </w:p>
    <w:p w14:paraId="779BF121">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这种深度融合带来了革命性的改变。在这一创新模式下，成飞民机的工艺团队提前17个月介入设计阶段，在并行审查阶段，便与设计人员联合办公，审查提出制造加工建议11000余条，制定了82份设计方案，并在产品试制阶段就已完整生成11.5万道零件加工工序和4561道装配工序，将“疑难杂症”提前消灭在图纸阶段。</w:t>
      </w:r>
    </w:p>
    <w:p w14:paraId="736991FA">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研制期间，成飞民机AG600项目团队通过“孔系定位装配技术”和“防腐密封技术”的创新，勾勒出一条清晰的技术攻坚路线图——</w:t>
      </w:r>
    </w:p>
    <w:p w14:paraId="352840EF">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AG600机头零件与连接件合计达数十万个，这意味着工人需要举着沉重的钻枪密密麻麻打出数十万个孔位。成飞民机创新使用孔系定位装配技术，极大减少了工人的手工划线量，制孔效率大大提升，且一次合格率接近100%。</w:t>
      </w:r>
    </w:p>
    <w:p w14:paraId="66078EAA">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AG600机头是与水面接触最频繁的核心部件之一，涉水面积居各部件之首。成飞民机团队为其筑起一道“滴水不漏”的梯度屏障：全范围填角密封+连接件“封包+密封胶”双重防护+特种防腐漆，填补了我国在这一技术领域的空白。</w:t>
      </w:r>
    </w:p>
    <w:p w14:paraId="4D931CCF">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这些创新突破如精密齿轮般咬合，共同驱动着国产大飞机关键部件研制的全新范式，也推动着中国航空制造迈向“智造”新阶段。</w:t>
      </w:r>
    </w:p>
    <w:p w14:paraId="668FE16E">
      <w:pPr>
        <w:ind w:firstLine="643" w:firstLineChars="200"/>
        <w:rPr>
          <w:rFonts w:hint="eastAsia" w:ascii="仿宋_GB2312" w:eastAsia="仿宋_GB2312"/>
          <w:b/>
          <w:bCs/>
          <w:sz w:val="32"/>
          <w:szCs w:val="32"/>
          <w:lang w:val="en-US"/>
        </w:rPr>
      </w:pPr>
      <w:r>
        <w:rPr>
          <w:rFonts w:hint="eastAsia" w:ascii="仿宋_GB2312" w:eastAsia="仿宋_GB2312"/>
          <w:b/>
          <w:bCs/>
          <w:sz w:val="32"/>
          <w:szCs w:val="32"/>
          <w:lang w:val="en-US"/>
        </w:rPr>
        <w:t>成果裂变——从单一部件辐射至产业发展</w:t>
      </w:r>
    </w:p>
    <w:p w14:paraId="722C4A1C">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AG600项目研制期间，成飞民机累计申请十余项发明专利，在技术创新和制造能力上全面提升，并带动了上下游产业链的协同发展，项目的创新管理理念也已推广应用至其它型号任务中。</w:t>
      </w:r>
    </w:p>
    <w:p w14:paraId="0B9E93A8">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通过技术创新与管理创新的双轮驱动，通过数字化与智能化的深度融合，航空制造正从传统模式向数字化、敏捷性转型，中国航空工业正在构建一个更加开放、协同、高效的创新生态系统。这或许就是AG600项目留给行业最宝贵的财富——不仅研制出一个先进产品，更探索出一条航空产业升级的新路径。</w:t>
      </w:r>
    </w:p>
    <w:p w14:paraId="7719AD29">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在总装型架旁，“罗阳青年突击队”的鲜红旗帜正见证着年轻一代航空人的成长。</w:t>
      </w:r>
    </w:p>
    <w:p w14:paraId="53CF31F8">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当最后一块筒段上壁板组件严丝合缝落到总装型架上时，那一刻我知道我们干成了！”从AG600立项开始便参与其中的丁峰回忆起那个夏日的傍晚仍难掩激动，“这是机头第一次完美地呈现在我们眼前，它的庞大、壮观，是我们在电脑前看了千遍万遍都无法想象的。”</w:t>
      </w:r>
    </w:p>
    <w:p w14:paraId="3CBC5197">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6年前刚入职就参与AG600项目的汤朝旺深感荣幸，在项目推进过程中，他快速成长，凭借出色的表现，如今已晋升为工艺主管。在后续的生产任务中，这位年轻的航空人将继续发挥中坚力量，带领团队攻克更多技术难关。</w:t>
      </w:r>
    </w:p>
    <w:p w14:paraId="632B39B0">
      <w:pPr>
        <w:ind w:firstLine="640" w:firstLineChars="200"/>
        <w:rPr>
          <w:rFonts w:hint="eastAsia" w:ascii="仿宋_GB2312" w:eastAsia="仿宋_GB2312"/>
          <w:sz w:val="32"/>
          <w:szCs w:val="32"/>
          <w:lang w:val="en-US"/>
        </w:rPr>
      </w:pPr>
      <w:r>
        <w:rPr>
          <w:rFonts w:hint="eastAsia" w:ascii="仿宋_GB2312" w:eastAsia="仿宋_GB2312"/>
          <w:sz w:val="32"/>
          <w:szCs w:val="32"/>
          <w:lang w:val="en-US"/>
        </w:rPr>
        <w:t>如今，AG600成功取得型号合格证，即将迈向批产、运营阶段。“我们希望它能尽快成为召之即来、来之即战、战之能胜的航空救援利器，为加快推动国产航空装备融入国家应急救援体系贡献力量。”张晓林表示，型号合格证取证只是迈向运营的第一步。大家有的不只是喜悦，更是责任，为了大国重器，为了国计民生。</w:t>
      </w:r>
    </w:p>
    <w:p w14:paraId="684F5854">
      <w:pPr>
        <w:ind w:firstLine="640" w:firstLineChars="200"/>
        <w:rPr>
          <w:rFonts w:ascii="仿宋_GB2312" w:eastAsia="仿宋_GB2312"/>
          <w:sz w:val="32"/>
          <w:szCs w:val="32"/>
          <w:lang w:val="en-US"/>
        </w:rPr>
      </w:pPr>
      <w:r>
        <w:rPr>
          <w:rFonts w:hint="eastAsia" w:ascii="仿宋_GB2312" w:eastAsia="仿宋_GB2312"/>
          <w:sz w:val="32"/>
          <w:szCs w:val="32"/>
          <w:lang w:val="en-US"/>
        </w:rPr>
        <w:t>期待未来，AG600一次次从水面汲水腾空而起，飞赴火场带来救援希望，那独特的机头浪遏飞舟的身影定会被铭记，其激荡起的创新浪潮也定会继续奔涌向前。</w:t>
      </w:r>
    </w:p>
    <w:p w14:paraId="574E59D6">
      <w:pPr>
        <w:ind w:firstLine="640" w:firstLineChars="200"/>
        <w:rPr>
          <w:rFonts w:ascii="仿宋_GB2312" w:eastAsia="仿宋_GB2312"/>
          <w:sz w:val="32"/>
          <w:szCs w:val="32"/>
          <w:lang w:val="en-US"/>
        </w:rPr>
      </w:pPr>
    </w:p>
    <w:p w14:paraId="71D7170E">
      <w:pPr>
        <w:jc w:val="center"/>
        <w:rPr>
          <w:rFonts w:ascii="黑体" w:hAnsi="黑体" w:eastAsia="黑体"/>
          <w:b/>
          <w:bCs/>
          <w:sz w:val="36"/>
          <w:szCs w:val="36"/>
          <w:lang w:val="en-US"/>
        </w:rPr>
      </w:pPr>
      <w:r>
        <w:rPr>
          <w:rFonts w:hint="eastAsia" w:ascii="黑体" w:hAnsi="黑体" w:eastAsia="黑体"/>
          <w:b/>
          <w:bCs/>
          <w:sz w:val="36"/>
          <w:szCs w:val="36"/>
          <w:lang w:val="en-US"/>
        </w:rPr>
        <w:t>碳丝为经树脂为纬织就“鲲龙”轻盈铠甲</w:t>
      </w:r>
    </w:p>
    <w:p w14:paraId="1B674BFF">
      <w:pPr>
        <w:jc w:val="center"/>
        <w:rPr>
          <w:rFonts w:ascii="黑体" w:hAnsi="黑体" w:eastAsia="黑体"/>
          <w:b/>
          <w:bCs/>
          <w:sz w:val="36"/>
          <w:szCs w:val="36"/>
          <w:lang w:val="en-US"/>
        </w:rPr>
      </w:pPr>
    </w:p>
    <w:p w14:paraId="53537B2F">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3月的北京，春意盎然。位于京郊的中国航空工业集团复材的智能化生产线上，一场精密的高分子材料革命正在上演。</w:t>
      </w:r>
    </w:p>
    <w:p w14:paraId="46A1ECC3">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机械滚轴以微米级精度执行着纱线导引、纤维梳理等精密操作，编织着数百万根直径不足发丝十分之一的碳纤维。通过梯度浸渍系统，纳米级树脂材料精准渗透至纤维间隙，经压延机组与离型膜的协同作用，最终形成同时具备轻量化与高性能化的复材预浸料——这正是AG600“鲲龙”赖以轻盈翱翔的“铠甲”。</w:t>
      </w:r>
    </w:p>
    <w:p w14:paraId="0CA1C191">
      <w:pPr>
        <w:ind w:firstLine="643" w:firstLineChars="200"/>
        <w:rPr>
          <w:rFonts w:ascii="仿宋_GB2312" w:hAnsi="黑体" w:eastAsia="仿宋_GB2312"/>
          <w:b/>
          <w:bCs/>
          <w:sz w:val="32"/>
          <w:szCs w:val="32"/>
          <w:lang w:val="en-US"/>
        </w:rPr>
      </w:pPr>
      <w:r>
        <w:rPr>
          <w:rFonts w:hint="eastAsia" w:ascii="仿宋_GB2312" w:hAnsi="黑体" w:eastAsia="仿宋_GB2312"/>
          <w:b/>
          <w:bCs/>
          <w:sz w:val="32"/>
          <w:szCs w:val="32"/>
          <w:lang w:val="en-US"/>
        </w:rPr>
        <w:t>每张预浸料都经历了积木式的生长</w:t>
      </w:r>
    </w:p>
    <w:p w14:paraId="4522509B">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在AG600的研制过程中，复材公司承担了机上副翼、方向舵、升降舵、翼身整流罩4类结构6大部件的研制及装配，每架份复材零件483件，其中升降舵的复材部件占比超90%。</w:t>
      </w:r>
    </w:p>
    <w:p w14:paraId="3DC2E3A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复合材料能成为“铠甲”的重要组成部分，得益于其远超钢铁的高强度、高刚度和低密度特性，在保障结构强度的同时大大减重——约等于5~6人的重量，显著提升了飞机的机动性与燃油效率；共固化成型等工艺突破，使部件结构效率提升15%，疲劳寿命突破10万次循环，全面满足了AG600水陆两栖任务的高强度需求。</w:t>
      </w:r>
    </w:p>
    <w:p w14:paraId="6AC4AD8D">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作为复合材料的“塔基”，一张预浸料的厚度通常只有0.1毫米，相当于一张A4纸的薄厚。“长约1000~2000米的预浸料才能满足方向舵的制造需求。”复材公司民用航空事业部部长程文礼说道。根据设计和应用的不同需求，预浸料需要进行层层铺叠，有时铺叠层数高达300多层，经过重重关卡的预浸料成品，形似一块宽带状的“布”。</w:t>
      </w:r>
    </w:p>
    <w:p w14:paraId="1EA88626">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面对飞机零部件中大量的复杂曲面结构，复材AG600项目研制团队运用下料机将带状的预浸料精准切割成几毫米的带丝，再通过激光投影定位，实现料片的精准铺设，解决了大曲率异形这一难题。</w:t>
      </w:r>
    </w:p>
    <w:p w14:paraId="3A9AE38D">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千丝万缕的碳纤维最终变为飞机上坚固的零部件，每张预浸料都经历了积木式的生长过程。</w:t>
      </w:r>
    </w:p>
    <w:p w14:paraId="2487915F">
      <w:pPr>
        <w:ind w:firstLine="643" w:firstLineChars="200"/>
        <w:rPr>
          <w:rFonts w:ascii="仿宋_GB2312" w:hAnsi="黑体" w:eastAsia="仿宋_GB2312"/>
          <w:b/>
          <w:bCs/>
          <w:sz w:val="32"/>
          <w:szCs w:val="32"/>
          <w:lang w:val="en-US"/>
        </w:rPr>
      </w:pPr>
      <w:r>
        <w:rPr>
          <w:rFonts w:hint="eastAsia" w:ascii="仿宋_GB2312" w:hAnsi="黑体" w:eastAsia="仿宋_GB2312"/>
          <w:b/>
          <w:bCs/>
          <w:sz w:val="32"/>
          <w:szCs w:val="32"/>
          <w:lang w:val="en-US"/>
        </w:rPr>
        <w:t>每项成果都来源于阶梯式攀登</w:t>
      </w:r>
    </w:p>
    <w:p w14:paraId="6FAFD24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向上生长，是竹节拔高前在泥土中的蓄势，每一寸压力都在雕刻挺拔的脊梁。</w:t>
      </w:r>
    </w:p>
    <w:p w14:paraId="05DDB7CF">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从多轮实验选材、大量数据评估再到综合设计，在AG600研制过程当中，我们制作了约10000个试验件，测试不同性能指标、验证设计可行性、满足飞机使用要求。”复材公司技术人员毕红艳说道：“不像金属材料在飞机上的应用早已成熟，复材无法取之即用，只能从小做起。”</w:t>
      </w:r>
    </w:p>
    <w:p w14:paraId="5B104DE1">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共固化成型技术如今已成为各行业普遍应用的工艺，但在2012年研制时，复合材料薄壁板共固化成型技术应用偏少，没有太多可供借鉴的案例。”回忆起当时对技术的逐步探索，毕红艳记忆犹新。针对项目研发周期紧张、零件数量多等挑战，复材AG600项目研制团队选择以共固化成型技术为核心方案，一次性将两个未成形的零件在高温高压热压罐中同步固化，不仅有效提高了生产效率，还提升了经济性。</w:t>
      </w:r>
    </w:p>
    <w:p w14:paraId="1FA64C09">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一次次从零开始，聚沙成塔，复材AG600项目研制团队通过自主创新，不断攻克核心技术，构建了完整的国产复材制造体系，为国产民机奠定了复材应用基础。</w:t>
      </w:r>
    </w:p>
    <w:p w14:paraId="0381E3E9">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事实上，AG600项目研制中积累的技术成果对航空产业的带动作用还在不断显现。</w:t>
      </w:r>
    </w:p>
    <w:p w14:paraId="3A6F89C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“乘着低空经济政策的东风，我们一直在完善相关产业布局。目前，我们已与沃兰特、沃飞、峰飞和小鹏等民营企业达成合作共识，后续将对复合材料在eVTOL等飞行器的应用进行进一步探索。”程文礼说道。</w:t>
      </w:r>
    </w:p>
    <w:p w14:paraId="69BF2761">
      <w:pPr>
        <w:ind w:firstLine="643" w:firstLineChars="200"/>
        <w:rPr>
          <w:rFonts w:ascii="仿宋_GB2312" w:hAnsi="黑体" w:eastAsia="仿宋_GB2312"/>
          <w:b/>
          <w:bCs/>
          <w:sz w:val="32"/>
          <w:szCs w:val="32"/>
          <w:lang w:val="en-US"/>
        </w:rPr>
      </w:pPr>
      <w:r>
        <w:rPr>
          <w:rFonts w:hint="eastAsia" w:ascii="仿宋_GB2312" w:hAnsi="黑体" w:eastAsia="仿宋_GB2312"/>
          <w:b/>
          <w:bCs/>
          <w:sz w:val="32"/>
          <w:szCs w:val="32"/>
          <w:lang w:val="en-US"/>
        </w:rPr>
        <w:t>每次坚守都凝聚了忠诚奉献的力量</w:t>
      </w:r>
    </w:p>
    <w:p w14:paraId="7FDB2452">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复材AG600项目研制团队的平均年龄只有33岁，女性研究人员占比42%。不同专业背景的年轻技术人员紧密配合，形成了一股能抗压、能攻关的青年力量。</w:t>
      </w:r>
    </w:p>
    <w:p w14:paraId="45F9D6E7">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“长夜漫漫屡试验，但为科研日又年。雨过天晴霞光散，幽幽华夏启新篇。”这是毕红艳13岁的女儿写给妈妈的诗。</w:t>
      </w:r>
    </w:p>
    <w:p w14:paraId="1C7265B2">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“进入适航审定阶段后，为了AG600生产资源的相关事项一直在出差，忙的时候连和孩子视频聊天的机会都很少。”毕红艳感慨道，“能为它披上挡风遮雨的‘鳞甲’，我无怨无悔。”</w:t>
      </w:r>
    </w:p>
    <w:p w14:paraId="46DECD0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“有幸投身于AG600研制，对我而言是一次将理想与国家航空事业紧密相连的机会。”程文礼说道，从立项之初便参与项目研制，AG600的意义早已在不觉间融进了自己的人生。</w:t>
      </w:r>
    </w:p>
    <w:p w14:paraId="13507B23">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当个人成长的价值曲线与中国航空工业发展的航迹重合，使命与担当便在心中汇聚起潜藏的能量。</w:t>
      </w:r>
    </w:p>
    <w:p w14:paraId="1BB82B55">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“AG600是为人民生命财产安全保驾护航的坚实后盾，这份沉甸甸的责任始终激励着我们迎难而上。未来，我们将持续进行技术创新，让复材助力更多国产民机在天空自由翱翔。”程文礼充满信心。</w:t>
      </w:r>
    </w:p>
    <w:p w14:paraId="342EF7BB">
      <w:pPr>
        <w:ind w:firstLine="640" w:firstLineChars="200"/>
        <w:rPr>
          <w:rFonts w:hint="eastAsia" w:ascii="仿宋_GB2312" w:eastAsia="仿宋_GB2312"/>
          <w:sz w:val="32"/>
          <w:szCs w:val="32"/>
          <w:lang w:val="en-US"/>
        </w:rPr>
      </w:pPr>
      <w:r>
        <w:rPr>
          <w:rFonts w:hint="eastAsia" w:ascii="仿宋_GB2312" w:hAnsi="黑体" w:eastAsia="仿宋_GB2312"/>
          <w:sz w:val="32"/>
          <w:szCs w:val="32"/>
          <w:lang w:val="en-US"/>
        </w:rPr>
        <w:t>这一路跋山涉水、披荆斩棘，从研制、试飞到AG600获颁型号合格证，是功成于微的奋力生长，是“从0到1”的逆流向上，是涓滴入海的忠诚奉献，是气象万千的全新起点……</w:t>
      </w:r>
    </w:p>
    <w:p w14:paraId="70F81E4B">
      <w:pPr>
        <w:rPr>
          <w:rFonts w:ascii="仿宋_GB2312" w:hAnsi="黑体" w:eastAsia="仿宋_GB2312"/>
          <w:sz w:val="32"/>
          <w:szCs w:val="32"/>
          <w:lang w:val="en-US"/>
        </w:rPr>
      </w:pPr>
    </w:p>
    <w:p w14:paraId="18729A06">
      <w:pPr>
        <w:jc w:val="center"/>
        <w:rPr>
          <w:rFonts w:ascii="黑体" w:hAnsi="黑体" w:eastAsia="黑体"/>
          <w:b/>
          <w:bCs/>
          <w:sz w:val="36"/>
          <w:szCs w:val="36"/>
          <w:lang w:val="en-US"/>
        </w:rPr>
      </w:pPr>
      <w:r>
        <w:rPr>
          <w:rFonts w:hint="eastAsia" w:ascii="黑体" w:hAnsi="黑体" w:eastAsia="黑体"/>
          <w:b/>
          <w:bCs/>
          <w:sz w:val="36"/>
          <w:szCs w:val="36"/>
        </w:rPr>
        <w:t>“鲲龙”砺爪 标注“中国支点”</w:t>
      </w:r>
    </w:p>
    <w:p w14:paraId="46720251">
      <w:pPr>
        <w:rPr>
          <w:rFonts w:ascii="黑体" w:hAnsi="黑体" w:eastAsia="黑体"/>
          <w:b/>
          <w:bCs/>
          <w:sz w:val="36"/>
          <w:szCs w:val="36"/>
          <w:lang w:val="en-US"/>
        </w:rPr>
      </w:pPr>
    </w:p>
    <w:p w14:paraId="55723584">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“咔嗒、咔嗒、咔嗒……”</w:t>
      </w:r>
    </w:p>
    <w:p w14:paraId="173C41C6">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钢筋铁骨的巨型试验台上，我国最高、收放结构最复杂的民机起落架反复收起、放下，清脆的锁定到位声回荡着世界航空产业中“中国支点”的蓬勃脉动。</w:t>
      </w:r>
    </w:p>
    <w:p w14:paraId="2D55D759">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这里是位于湖南长沙的中国航空工业集团起落架，AG600“鲲龙”的起落架正是在这里完成了从研制到适航的全过程。</w:t>
      </w:r>
    </w:p>
    <w:p w14:paraId="5133404E">
      <w:pPr>
        <w:ind w:firstLine="643" w:firstLineChars="200"/>
        <w:rPr>
          <w:rFonts w:hint="eastAsia" w:ascii="仿宋_GB2312" w:hAnsi="黑体" w:eastAsia="仿宋_GB2312"/>
          <w:b/>
          <w:bCs/>
          <w:sz w:val="32"/>
          <w:szCs w:val="32"/>
          <w:lang w:val="en-US"/>
        </w:rPr>
      </w:pPr>
      <w:r>
        <w:rPr>
          <w:rFonts w:hint="eastAsia" w:ascii="仿宋_GB2312" w:hAnsi="黑体" w:eastAsia="仿宋_GB2312"/>
          <w:b/>
          <w:bCs/>
          <w:sz w:val="32"/>
          <w:szCs w:val="32"/>
          <w:lang w:val="en-US"/>
        </w:rPr>
        <w:t>“鲲龙”的“利爪”如何安放？</w:t>
      </w:r>
    </w:p>
    <w:p w14:paraId="64E5CA2B">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不能布置在机腹——“V”型船身将使起落架轮距过窄，导致侧翻风险。</w:t>
      </w:r>
    </w:p>
    <w:p w14:paraId="68D96530">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不能布置在机翼——悬臂上单翼布局将使起落架过长、传力不直接，易卡滞。</w:t>
      </w:r>
    </w:p>
    <w:p w14:paraId="3B738A6D">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不能影响飞机气/水动性能，不能影响汲水舱，不能给飞机增重……“AG600要灭火、要救援，和其他民机很不一样，在种种因素的制约下，起落架能选择的收藏空间非常有限。”起落架技术专家傅碧华坦言。</w:t>
      </w:r>
    </w:p>
    <w:p w14:paraId="7A72A416">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“‘鲲龙’的‘利爪’究竟如何安放？”经过对多个方案相互迭代、综合对比优化，AG600起落架项目团队最终敲定采用机身支柱外伸双位插销式起落架结构。</w:t>
      </w:r>
    </w:p>
    <w:p w14:paraId="22A872B0">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“这种结构对飞机的气动外形影响比较小。”傅碧华介绍，支柱结构简洁、轻便，插销上锁的传力路径很直接 ；起落架向外扩伸，也让飞机具备良好的横向稳定性。</w:t>
      </w:r>
    </w:p>
    <w:p w14:paraId="603413CD">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然而，要让AG600起落架紧凑地收进水线以上的整流罩，使机轮平行紧贴机身，还需要完成一系列复杂的运动。</w:t>
      </w:r>
    </w:p>
    <w:p w14:paraId="157C8C08">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“可以理解成缓冲支柱形成圆锥面的运动轨迹，属于空间运动，而一般的飞机起落架通常采用简单的平面运动。” 傅碧华直言：“虽然这已经是最佳方案，但仍面临收放设计难度大等挑战。没有参考资料，我们只能一点点探索。”</w:t>
      </w:r>
    </w:p>
    <w:p w14:paraId="50873656">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不断设计、不断推翻、不分昼夜，历经20多套方案迭代，AG600起落架团队伴随着“鲲龙”一起从“蹒跚学步”到“昂首阔步”。</w:t>
      </w:r>
    </w:p>
    <w:p w14:paraId="108934ED">
      <w:pPr>
        <w:ind w:firstLine="643" w:firstLineChars="200"/>
        <w:rPr>
          <w:rFonts w:hint="eastAsia" w:ascii="仿宋_GB2312" w:hAnsi="黑体" w:eastAsia="仿宋_GB2312"/>
          <w:b/>
          <w:bCs/>
          <w:sz w:val="32"/>
          <w:szCs w:val="32"/>
          <w:lang w:val="en-US"/>
        </w:rPr>
      </w:pPr>
      <w:r>
        <w:rPr>
          <w:rFonts w:hint="eastAsia" w:ascii="仿宋_GB2312" w:hAnsi="黑体" w:eastAsia="仿宋_GB2312"/>
          <w:b/>
          <w:bCs/>
          <w:sz w:val="32"/>
          <w:szCs w:val="32"/>
          <w:lang w:val="en-US"/>
        </w:rPr>
        <w:t>起落架讲究“收得起、放得下”</w:t>
      </w:r>
    </w:p>
    <w:p w14:paraId="15F4C980">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“起落架讲究的就是‘收得起、放得下’。”起落架副总设计师汪赵宏道出设计的关键。</w:t>
      </w:r>
    </w:p>
    <w:p w14:paraId="35EF51E6">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作为水陆两栖飞机的起落架，AG600起落架不光要具备陆基飞机起落架的全部功能，还要能够承载“鲲龙”在水陆间自在穿行。</w:t>
      </w:r>
    </w:p>
    <w:p w14:paraId="5BA2A1CF">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“从选材到工艺，都突出一个‘耐蚀性’。”起落架工艺专家肖细军介绍。</w:t>
      </w:r>
    </w:p>
    <w:p w14:paraId="7784A02E">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为护航“鲲龙”入海，团队“量体裁衣”，为“鲲龙”的“利爪”穿上了防腐、耐磨的“冲锋衣”。团队首次按照民机适航要求，开展了新材料研制，在适航目击下完成了 A-100钢、TC18钛合金棒材和锻件的所有试样加工和试验，制定了新材料标准和工艺标准，顺利通过适航认证。</w:t>
      </w:r>
    </w:p>
    <w:p w14:paraId="119FB1CD">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“AG600起落架在水中收放克服的阻碍，比在空气中大得多。”傅碧华介绍，四面八方的水流会将起落架“挤”得偏离“正轨”，导致锁销与锁臂孔不能对正，起落架无法下位锁定，“飞机就会‘腿软’”。</w:t>
      </w:r>
    </w:p>
    <w:p w14:paraId="3762164E">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历经半年攻关，团队为“鲲龙”起落架配备了国际首创的专属“导航”——在起落架受水流冲击时容易偏移到的位置，团队设置了三角形纠偏滚柱阻挡，再配合“V”型导向块将其“带到”正确的位置。</w:t>
      </w:r>
    </w:p>
    <w:p w14:paraId="6D941F4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我们针对空中和水中的各种大载荷工况，各进行了100次试验，每次试验起落架都能准确对齐、牢牢锁定，充分验证了纠偏装置、导向装置的可靠性，也为国际上起落架下位锁的研制提供了全新的思路。”傅碧华说。</w:t>
      </w:r>
    </w:p>
    <w:p w14:paraId="4499868D">
      <w:pPr>
        <w:ind w:firstLine="643" w:firstLineChars="200"/>
        <w:rPr>
          <w:rFonts w:ascii="仿宋_GB2312" w:hAnsi="黑体" w:eastAsia="仿宋_GB2312"/>
          <w:b/>
          <w:bCs/>
          <w:sz w:val="32"/>
          <w:szCs w:val="32"/>
          <w:lang w:val="en-US"/>
        </w:rPr>
      </w:pPr>
      <w:r>
        <w:rPr>
          <w:rFonts w:hint="eastAsia" w:ascii="仿宋_GB2312" w:hAnsi="黑体" w:eastAsia="仿宋_GB2312"/>
          <w:b/>
          <w:bCs/>
          <w:sz w:val="32"/>
          <w:szCs w:val="32"/>
          <w:lang w:val="en-US"/>
        </w:rPr>
        <w:t>特种飞机就有特种要求</w:t>
      </w:r>
    </w:p>
    <w:p w14:paraId="2F07E929">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在未来的应用中，AG600要能经受从火场到水源温度的急剧变化，起落架也一样。</w:t>
      </w:r>
    </w:p>
    <w:p w14:paraId="248C851A">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“特种飞机就有特种要求。”汪赵宏说。按照适航条款，AG600 要能承受每分钟25摄氏度的温度变化冲击速率，而一般民机只需每分钟10摄氏度。</w:t>
      </w:r>
    </w:p>
    <w:p w14:paraId="1651E61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长沙、珠海、西安……团队为开展试验四处奔走。</w:t>
      </w:r>
    </w:p>
    <w:p w14:paraId="5B35550A">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“国内从来没有开展过这一试验。我们折腾了一年多。”回忆起来，汪赵宏仍不住地感慨，“大家都认为短期内不可能完成，局方也把它列为重点关注项。但只要心齐，就没有干不成的事。”</w:t>
      </w:r>
    </w:p>
    <w:p w14:paraId="0C6A9F1C">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终于，团队与适航目击代表共同见证了凌晨4点的星光，也见证了“鲲龙”通过考验时彼此欣喜的泪光。</w:t>
      </w:r>
    </w:p>
    <w:p w14:paraId="3E7A4FF7">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为了充分满足“特种要求”，AG600起落架还顺利通过了国内首次开展的起落架系统级的结冰试验、HIRF/IEL试验。团队基于AG600的破冰数据建立起落架动力学仿真模型，傅碧华介绍，在后续型号研制过程中将具有良好的复用性。</w:t>
      </w:r>
    </w:p>
    <w:p w14:paraId="6C0D9159">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“适航要先自问自答。”AG600起落架项目委任适航代表、起落架工程技术研究中心设计所副所长刘庞轮总结道。</w:t>
      </w:r>
    </w:p>
    <w:p w14:paraId="4C9D2027">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作为起落架系统首批委任适航代表中的一员，刘庞轮认为，站在局方角度开展审查工作的经历帮助团队消除了自身理解与适航要求的信息差。</w:t>
      </w:r>
    </w:p>
    <w:p w14:paraId="161176F7">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“我们会提前谋划，在审查前全面考虑局方要求，确保验证充分、审查高效。”刘庞轮讲道，“这一路走下来，自问自答成为全员的习惯。”</w:t>
      </w:r>
    </w:p>
    <w:p w14:paraId="21B14671">
      <w:pPr>
        <w:ind w:firstLine="643" w:firstLineChars="200"/>
        <w:rPr>
          <w:rFonts w:ascii="仿宋_GB2312" w:hAnsi="黑体" w:eastAsia="仿宋_GB2312"/>
          <w:b/>
          <w:bCs/>
          <w:sz w:val="32"/>
          <w:szCs w:val="32"/>
          <w:lang w:val="en-US"/>
        </w:rPr>
      </w:pPr>
      <w:r>
        <w:rPr>
          <w:rFonts w:hint="eastAsia" w:ascii="仿宋_GB2312" w:hAnsi="黑体" w:eastAsia="仿宋_GB2312"/>
          <w:b/>
          <w:bCs/>
          <w:sz w:val="32"/>
          <w:szCs w:val="32"/>
          <w:lang w:val="en-US"/>
        </w:rPr>
        <w:t>试验考核的是产品，也考核着人</w:t>
      </w:r>
    </w:p>
    <w:p w14:paraId="51006C06">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“首飞不易适航难。”面对紧急的试验任务，起落架公司在试验一线组织成立了“罗阳青年突击队”。综合型试验设计员兼测试分析组组长、静强度试验青年突击队队长郭士礼说 ：“大家彼此学习、共同进步，碰撞出了很多新方法，有效提高了试验效率。”</w:t>
      </w:r>
    </w:p>
    <w:p w14:paraId="791B40C6">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“试验考核的是产品，也考核着设备、考核着人。”郭士礼感慨道。</w:t>
      </w:r>
    </w:p>
    <w:p w14:paraId="08D96F6D">
      <w:pPr>
        <w:ind w:firstLine="640" w:firstLineChars="200"/>
        <w:rPr>
          <w:rFonts w:ascii="仿宋_GB2312" w:hAnsi="黑体" w:eastAsia="仿宋_GB2312"/>
          <w:sz w:val="32"/>
          <w:szCs w:val="32"/>
          <w:lang w:val="en-US"/>
        </w:rPr>
      </w:pPr>
      <w:r>
        <w:rPr>
          <w:rFonts w:hint="eastAsia" w:ascii="仿宋_GB2312" w:hAnsi="黑体" w:eastAsia="仿宋_GB2312"/>
          <w:sz w:val="32"/>
          <w:szCs w:val="32"/>
          <w:lang w:val="en-US"/>
        </w:rPr>
        <w:t>看着AG600起落架通过一次次审查，成为起落架公司首个走完研制到适航全过程的产品，郭士礼和队员们十分激动 ：“这说明我们的产品经受住了考验，我们也经受住了考验。”</w:t>
      </w:r>
    </w:p>
    <w:p w14:paraId="22857411">
      <w:pPr>
        <w:ind w:firstLine="640" w:firstLineChars="200"/>
        <w:rPr>
          <w:rFonts w:hint="eastAsia" w:ascii="仿宋_GB2312" w:hAnsi="黑体" w:eastAsia="仿宋_GB2312"/>
          <w:sz w:val="32"/>
          <w:szCs w:val="32"/>
          <w:lang w:val="en-US"/>
        </w:rPr>
      </w:pPr>
      <w:r>
        <w:rPr>
          <w:rFonts w:hint="eastAsia" w:ascii="仿宋_GB2312" w:hAnsi="黑体" w:eastAsia="仿宋_GB2312"/>
          <w:sz w:val="32"/>
          <w:szCs w:val="32"/>
          <w:lang w:val="en-US"/>
        </w:rPr>
        <w:t>“人的一生，30多年职业生涯，能遇到一个大型号，并作为主力军承担相应的攻关任务，是一件很幸福的事。”傅碧华说，“接下来，让AG600起落架全生命周期的可靠性更高、寿命更长，伴随‘鲲龙’完成更多救援任务，是我们团队的共同目标。</w:t>
      </w:r>
    </w:p>
    <w:p w14:paraId="313BB65F">
      <w:pPr>
        <w:rPr>
          <w:rFonts w:hint="eastAsia" w:ascii="楷体" w:hAnsi="楷体" w:eastAsia="楷体"/>
          <w:color w:val="000000"/>
          <w:sz w:val="28"/>
          <w:szCs w:val="28"/>
          <w:lang w:eastAsia="zh-CN"/>
        </w:rPr>
      </w:pPr>
      <w:r>
        <w:rPr>
          <w:rFonts w:hint="eastAsia" w:ascii="楷体" w:hAnsi="楷体" w:eastAsia="楷体"/>
          <w:color w:val="000000"/>
          <w:sz w:val="28"/>
          <w:szCs w:val="28"/>
          <w:lang w:eastAsia="zh-CN"/>
        </w:rPr>
        <w:drawing>
          <wp:inline distT="0" distB="0" distL="114300" distR="114300">
            <wp:extent cx="5272405" cy="3515360"/>
            <wp:effectExtent l="0" t="0" r="4445" b="889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272405" cy="3515360"/>
                    </a:xfrm>
                    <a:prstGeom prst="rect">
                      <a:avLst/>
                    </a:prstGeom>
                  </pic:spPr>
                </pic:pic>
              </a:graphicData>
            </a:graphic>
          </wp:inline>
        </w:drawing>
      </w:r>
      <w:r>
        <w:rPr>
          <w:rFonts w:hint="eastAsia" w:ascii="楷体" w:hAnsi="楷体" w:eastAsia="楷体"/>
          <w:color w:val="000000"/>
          <w:sz w:val="28"/>
          <w:szCs w:val="28"/>
          <w:lang w:eastAsia="zh-CN"/>
        </w:rPr>
        <w:drawing>
          <wp:inline distT="0" distB="0" distL="114300" distR="114300">
            <wp:extent cx="5269230" cy="2865120"/>
            <wp:effectExtent l="0" t="0" r="7620" b="1143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6"/>
                    <a:stretch>
                      <a:fillRect/>
                    </a:stretch>
                  </pic:blipFill>
                  <pic:spPr>
                    <a:xfrm>
                      <a:off x="0" y="0"/>
                      <a:ext cx="5269230" cy="2865120"/>
                    </a:xfrm>
                    <a:prstGeom prst="rect">
                      <a:avLst/>
                    </a:prstGeom>
                  </pic:spPr>
                </pic:pic>
              </a:graphicData>
            </a:graphic>
          </wp:inline>
        </w:drawing>
      </w:r>
      <w:r>
        <w:rPr>
          <w:rFonts w:hint="eastAsia" w:ascii="楷体" w:hAnsi="楷体" w:eastAsia="楷体"/>
          <w:color w:val="000000"/>
          <w:sz w:val="28"/>
          <w:szCs w:val="28"/>
          <w:lang w:eastAsia="zh-CN"/>
        </w:rPr>
        <w:drawing>
          <wp:inline distT="0" distB="0" distL="114300" distR="114300">
            <wp:extent cx="5239385" cy="3597910"/>
            <wp:effectExtent l="0" t="0" r="18415" b="2540"/>
            <wp:docPr id="3" name="图片 3" descr="版样PDF《新型举国体制托举AG600“鲲龙”逐梦海天》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版样PDF《新型举国体制托举AG600“鲲龙”逐梦海天》_01"/>
                    <pic:cNvPicPr>
                      <a:picLocks noChangeAspect="1"/>
                    </pic:cNvPicPr>
                  </pic:nvPicPr>
                  <pic:blipFill>
                    <a:blip r:embed="rId7"/>
                    <a:stretch>
                      <a:fillRect/>
                    </a:stretch>
                  </pic:blipFill>
                  <pic:spPr>
                    <a:xfrm>
                      <a:off x="0" y="0"/>
                      <a:ext cx="5239385" cy="35979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5DE3F91-7C91-4AB3-B2B7-C0E1B01595DB}"/>
  </w:font>
  <w:font w:name="宋体">
    <w:panose1 w:val="02010600030101010101"/>
    <w:charset w:val="86"/>
    <w:family w:val="auto"/>
    <w:pitch w:val="default"/>
    <w:sig w:usb0="00000203" w:usb1="288F0000" w:usb2="00000006" w:usb3="00000000" w:csb0="00040001" w:csb1="00000000"/>
    <w:embedRegular r:id="rId2" w:fontKey="{3D85796E-F28D-420B-B8B8-9745E140A56C}"/>
  </w:font>
  <w:font w:name="Wingdings">
    <w:panose1 w:val="05000000000000000000"/>
    <w:charset w:val="02"/>
    <w:family w:val="auto"/>
    <w:pitch w:val="default"/>
    <w:sig w:usb0="00000000" w:usb1="00000000" w:usb2="00000000" w:usb3="00000000" w:csb0="80000000" w:csb1="00000000"/>
    <w:embedRegular r:id="rId3" w:fontKey="{2E5A3A52-EAA3-400A-8849-B31AE5CBBC5A}"/>
  </w:font>
  <w:font w:name="Arial">
    <w:panose1 w:val="020B0604020202020204"/>
    <w:charset w:val="01"/>
    <w:family w:val="swiss"/>
    <w:pitch w:val="default"/>
    <w:sig w:usb0="E0002EFF" w:usb1="C000785B" w:usb2="00000009" w:usb3="00000000" w:csb0="400001FF" w:csb1="FFFF0000"/>
    <w:embedRegular r:id="rId4" w:fontKey="{1A8A1A31-CC9A-45C2-999F-591C9F010C7C}"/>
  </w:font>
  <w:font w:name="黑体">
    <w:panose1 w:val="02010609060101010101"/>
    <w:charset w:val="86"/>
    <w:family w:val="auto"/>
    <w:pitch w:val="default"/>
    <w:sig w:usb0="800002BF" w:usb1="38CF7CFA" w:usb2="00000016" w:usb3="00000000" w:csb0="00040001" w:csb1="00000000"/>
    <w:embedRegular r:id="rId5" w:fontKey="{40C59700-59BE-49E9-9694-5572DBA6C444}"/>
  </w:font>
  <w:font w:name="Courier New">
    <w:panose1 w:val="02070309020205020404"/>
    <w:charset w:val="01"/>
    <w:family w:val="modern"/>
    <w:pitch w:val="default"/>
    <w:sig w:usb0="E0002EFF" w:usb1="C0007843" w:usb2="00000009" w:usb3="00000000" w:csb0="400001FF" w:csb1="FFFF0000"/>
    <w:embedRegular r:id="rId6" w:fontKey="{DC1FDA9C-DB06-4910-A219-5ADB73D7A18E}"/>
  </w:font>
  <w:font w:name="Symbol">
    <w:panose1 w:val="05050102010706020507"/>
    <w:charset w:val="02"/>
    <w:family w:val="roman"/>
    <w:pitch w:val="default"/>
    <w:sig w:usb0="00000000" w:usb1="00000000" w:usb2="00000000" w:usb3="00000000" w:csb0="80000000" w:csb1="00000000"/>
    <w:embedRegular r:id="rId7" w:fontKey="{1494C298-267F-4964-9775-9708A119F509}"/>
  </w:font>
  <w:font w:name="Calibri">
    <w:panose1 w:val="020F0502020204030204"/>
    <w:charset w:val="00"/>
    <w:family w:val="swiss"/>
    <w:pitch w:val="default"/>
    <w:sig w:usb0="E4002EFF" w:usb1="C000247B" w:usb2="00000009" w:usb3="00000000" w:csb0="200001FF" w:csb1="00000000"/>
    <w:embedRegular r:id="rId8" w:fontKey="{0824878F-E745-4752-8479-EE3B5C21F6B3}"/>
  </w:font>
  <w:font w:name="方正仿宋_GB2312">
    <w:panose1 w:val="02000000000000000000"/>
    <w:charset w:val="86"/>
    <w:family w:val="auto"/>
    <w:pitch w:val="default"/>
    <w:sig w:usb0="A00002BF" w:usb1="184F6CFA" w:usb2="00000012" w:usb3="00000000" w:csb0="00040001" w:csb1="00000000"/>
    <w:embedRegular r:id="rId9" w:fontKey="{F11B4642-A569-42A2-95E1-8E020299A9FB}"/>
  </w:font>
  <w:font w:name="方正小标宋简体">
    <w:panose1 w:val="02000000000000000000"/>
    <w:charset w:val="86"/>
    <w:family w:val="auto"/>
    <w:pitch w:val="default"/>
    <w:sig w:usb0="00000001" w:usb1="08000000" w:usb2="00000000" w:usb3="00000000" w:csb0="00040000" w:csb1="00000000"/>
    <w:embedRegular r:id="rId10" w:fontKey="{6329D5CE-F442-4309-A95E-E55E6A3FA43D}"/>
  </w:font>
  <w:font w:name="华文中宋">
    <w:panose1 w:val="02010600040101010101"/>
    <w:charset w:val="86"/>
    <w:family w:val="auto"/>
    <w:pitch w:val="default"/>
    <w:sig w:usb0="00000287" w:usb1="080F0000" w:usb2="00000000" w:usb3="00000000" w:csb0="0004009F" w:csb1="DFD70000"/>
    <w:embedRegular r:id="rId11" w:fontKey="{60E451A5-97C0-4B11-944D-42F8A4B576A6}"/>
  </w:font>
  <w:font w:name="仿宋">
    <w:panose1 w:val="02010609060101010101"/>
    <w:charset w:val="86"/>
    <w:family w:val="modern"/>
    <w:pitch w:val="default"/>
    <w:sig w:usb0="800002BF" w:usb1="38CF7CFA" w:usb2="00000016" w:usb3="00000000" w:csb0="00040001" w:csb1="00000000"/>
    <w:embedRegular r:id="rId12" w:fontKey="{D2C3758B-1F26-4E27-88CE-2F3E18E6D4BF}"/>
  </w:font>
  <w:font w:name="楷体">
    <w:panose1 w:val="02010609060101010101"/>
    <w:charset w:val="86"/>
    <w:family w:val="modern"/>
    <w:pitch w:val="default"/>
    <w:sig w:usb0="800002BF" w:usb1="38CF7CFA" w:usb2="00000016" w:usb3="00000000" w:csb0="00040001" w:csb1="00000000"/>
    <w:embedRegular r:id="rId13" w:fontKey="{E0C8104C-73C6-4274-9CD0-8229230146C1}"/>
  </w:font>
  <w:font w:name="仿宋_GB2312">
    <w:altName w:val="仿宋"/>
    <w:panose1 w:val="02010609030101010101"/>
    <w:charset w:val="86"/>
    <w:family w:val="modern"/>
    <w:pitch w:val="default"/>
    <w:sig w:usb0="00000000" w:usb1="00000000" w:usb2="00000000" w:usb3="00000000" w:csb0="00040000" w:csb1="00000000"/>
    <w:embedRegular r:id="rId14" w:fontKey="{0610341D-6300-46A6-9F2F-4FF148D142CD}"/>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153B">
    <w:pPr>
      <w:pStyle w:val="2"/>
      <w:spacing w:after="0" w:line="320" w:lineRule="exact"/>
      <w:ind w:firstLine="602"/>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autoHyphenation/>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811"/>
    <w:rsid w:val="002C3D83"/>
    <w:rsid w:val="003854F9"/>
    <w:rsid w:val="004D5F3F"/>
    <w:rsid w:val="00604811"/>
    <w:rsid w:val="00A74517"/>
    <w:rsid w:val="00AD0AE8"/>
    <w:rsid w:val="00B40E16"/>
    <w:rsid w:val="00F562CD"/>
    <w:rsid w:val="103E4A53"/>
    <w:rsid w:val="15C6293A"/>
    <w:rsid w:val="19E679BC"/>
    <w:rsid w:val="1E806E3E"/>
    <w:rsid w:val="206C63BE"/>
    <w:rsid w:val="291819B2"/>
    <w:rsid w:val="33363900"/>
    <w:rsid w:val="339C01B8"/>
    <w:rsid w:val="361C605B"/>
    <w:rsid w:val="4CA94913"/>
    <w:rsid w:val="5D250E1A"/>
    <w:rsid w:val="70CD2B43"/>
    <w:rsid w:val="73F26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2312" w:asciiTheme="minorHAnsi" w:hAnsiTheme="minorHAnsi" w:cstheme="minorBidi"/>
      <w:kern w:val="2"/>
      <w:sz w:val="32"/>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3"/>
    <w:basedOn w:val="1"/>
    <w:unhideWhenUsed/>
    <w:qFormat/>
    <w:uiPriority w:val="99"/>
    <w:pPr>
      <w:spacing w:after="120"/>
    </w:pPr>
    <w:rPr>
      <w:sz w:val="16"/>
      <w:szCs w:val="16"/>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12870</Words>
  <Characters>13448</Characters>
  <Lines>123</Lines>
  <Paragraphs>123</Paragraphs>
  <TotalTime>0</TotalTime>
  <ScaleCrop>false</ScaleCrop>
  <LinksUpToDate>false</LinksUpToDate>
  <CharactersWithSpaces>13622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2026-05-11T05:05:00Z</dcterms:created>
  <dc:creator>EDY</dc:creator>
  <cp:lastModifiedBy>火焱</cp:lastModifiedBy>
  <dcterms:modified xsi:type="dcterms:W3CDTF">2026-05-12T08:58:32Z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eyJoZGlkIjoiMzNmNzU2YzY1NWY5MDVkMzA0ZDUwNDlkMTA5MTgzZGQiLCJ1c2VySWQiOiI1NDk5OTUyNzYifQ==</vt:lpwstr>
  </property>
  <property fmtid="{D5CDD505-2E9C-101B-9397-08002B2CF9AE}" pid="4" name="ICV">
    <vt:lpwstr>3FACA3D62B2F4888A4A1B14C79BC670B_13</vt:lpwstr>
  </property>
</Properties>
</file>