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FDB0F7">
      <w:pPr>
        <w:spacing w:line="600" w:lineRule="exact"/>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rPr>
        <w:t>1</w:t>
      </w:r>
    </w:p>
    <w:p w14:paraId="13B064B9">
      <w:pPr>
        <w:spacing w:line="600" w:lineRule="exact"/>
        <w:rPr>
          <w:rFonts w:hint="eastAsia" w:ascii="黑体" w:hAnsi="黑体" w:eastAsia="黑体" w:cs="黑体"/>
          <w:sz w:val="30"/>
          <w:szCs w:val="30"/>
        </w:rPr>
      </w:pPr>
      <w:r>
        <w:rPr>
          <w:rFonts w:hint="eastAsia" w:ascii="黑体" w:hAnsi="黑体" w:eastAsia="黑体" w:cs="黑体"/>
          <w:sz w:val="30"/>
          <w:szCs w:val="30"/>
        </w:rPr>
        <w:t xml:space="preserve">                            </w:t>
      </w:r>
    </w:p>
    <w:p w14:paraId="4FC1BFAC">
      <w:pPr>
        <w:adjustRightInd w:val="0"/>
        <w:snapToGrid w:val="0"/>
        <w:spacing w:line="600" w:lineRule="exact"/>
        <w:jc w:val="center"/>
        <w:rPr>
          <w:rFonts w:hint="eastAsia" w:ascii="黑体" w:hAnsi="黑体" w:eastAsia="黑体" w:cs="黑体"/>
          <w:b/>
          <w:sz w:val="36"/>
          <w:szCs w:val="36"/>
        </w:rPr>
      </w:pPr>
      <w:r>
        <w:rPr>
          <w:rFonts w:hint="eastAsia" w:ascii="黑体" w:hAnsi="黑体" w:eastAsia="黑体" w:cs="黑体"/>
          <w:b/>
          <w:sz w:val="36"/>
          <w:szCs w:val="36"/>
          <w:lang w:val="en-US" w:eastAsia="zh-CN"/>
        </w:rPr>
        <w:t>2026</w:t>
      </w:r>
      <w:r>
        <w:rPr>
          <w:rFonts w:hint="eastAsia" w:ascii="黑体" w:hAnsi="黑体" w:eastAsia="黑体" w:cs="黑体"/>
          <w:b/>
          <w:sz w:val="36"/>
          <w:szCs w:val="36"/>
        </w:rPr>
        <w:t>年中国行业媒体高质量发展创新案例申报指南</w:t>
      </w:r>
    </w:p>
    <w:p w14:paraId="2F308E61">
      <w:pPr>
        <w:ind w:firstLine="643" w:firstLineChars="200"/>
        <w:contextualSpacing/>
        <w:rPr>
          <w:rFonts w:ascii="仿宋" w:hAnsi="仿宋" w:eastAsia="仿宋" w:cs="仿宋"/>
          <w:b/>
          <w:sz w:val="32"/>
          <w:szCs w:val="32"/>
        </w:rPr>
      </w:pPr>
      <w:r>
        <w:rPr>
          <w:rFonts w:hint="eastAsia" w:ascii="仿宋" w:hAnsi="仿宋" w:eastAsia="仿宋" w:cs="仿宋"/>
          <w:b/>
          <w:sz w:val="32"/>
          <w:szCs w:val="32"/>
        </w:rPr>
        <w:t>一、案例类别</w:t>
      </w:r>
    </w:p>
    <w:p w14:paraId="4A4AA14A">
      <w:pPr>
        <w:keepNext w:val="0"/>
        <w:keepLines w:val="0"/>
        <w:pageBreakBefore w:val="0"/>
        <w:widowControl w:val="0"/>
        <w:kinsoku/>
        <w:wordWrap/>
        <w:overflowPunct/>
        <w:topLinePunct w:val="0"/>
        <w:autoSpaceDE/>
        <w:autoSpaceDN/>
        <w:bidi w:val="0"/>
        <w:adjustRightInd/>
        <w:snapToGrid/>
        <w:ind w:firstLine="643" w:firstLineChars="200"/>
        <w:contextualSpacing/>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（一）全媒体传播建设类</w:t>
      </w:r>
    </w:p>
    <w:p w14:paraId="700438E2">
      <w:pPr>
        <w:keepNext w:val="0"/>
        <w:keepLines w:val="0"/>
        <w:pageBreakBefore w:val="0"/>
        <w:widowControl w:val="0"/>
        <w:kinsoku/>
        <w:wordWrap/>
        <w:overflowPunct/>
        <w:topLinePunct w:val="0"/>
        <w:autoSpaceDE/>
        <w:autoSpaceDN/>
        <w:bidi w:val="0"/>
        <w:adjustRightInd/>
        <w:snapToGrid/>
        <w:ind w:firstLine="640" w:firstLineChars="200"/>
        <w:contextualSpacing/>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本类案例侧重反映行业媒体根据传统媒体与新兴媒体深度融合和一体化发展要求，以互联网思维、系统观念优化资源配置，塑造媒体结构布局、构建全媒体传播体系方面的创新做法和成熟经验。具体案例包括客户端、网站、新媒体账号建设，建强自主传播平台、打造新媒体矩阵，形成互联互通、相互赋能的融媒生态等。</w:t>
      </w:r>
    </w:p>
    <w:p w14:paraId="77B81E8E">
      <w:pPr>
        <w:keepNext w:val="0"/>
        <w:keepLines w:val="0"/>
        <w:pageBreakBefore w:val="0"/>
        <w:widowControl w:val="0"/>
        <w:kinsoku/>
        <w:wordWrap/>
        <w:overflowPunct/>
        <w:topLinePunct w:val="0"/>
        <w:autoSpaceDE/>
        <w:autoSpaceDN/>
        <w:bidi w:val="0"/>
        <w:adjustRightInd/>
        <w:snapToGrid/>
        <w:ind w:firstLine="643" w:firstLineChars="200"/>
        <w:contextualSpacing/>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（二）内容供给创新类</w:t>
      </w:r>
    </w:p>
    <w:p w14:paraId="5AFD63DD">
      <w:pPr>
        <w:keepNext w:val="0"/>
        <w:keepLines w:val="0"/>
        <w:pageBreakBefore w:val="0"/>
        <w:widowControl w:val="0"/>
        <w:kinsoku/>
        <w:wordWrap/>
        <w:overflowPunct/>
        <w:topLinePunct w:val="0"/>
        <w:autoSpaceDE/>
        <w:autoSpaceDN/>
        <w:bidi w:val="0"/>
        <w:adjustRightInd/>
        <w:snapToGrid/>
        <w:ind w:firstLine="640" w:firstLineChars="200"/>
        <w:contextualSpacing/>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本类案例侧重反映行业媒体坚持正确政治方向、舆论导向、价值取向，坚持人民至上，把握新时代新闻舆论工作要求，强化用户需求驱动，推动内容生产供给侧结构性改革，提升优质内容生产能力，以正能量、高质量赢得大流量的作品、项目及相关举措。具体案例包括党的创新理论成果、中国式现代化等主题宣传，政治、经济、文化、社会、生态文明建设专题报道、</w:t>
      </w:r>
      <w:r>
        <w:rPr>
          <w:rFonts w:hint="eastAsia" w:ascii="仿宋" w:hAnsi="仿宋" w:eastAsia="仿宋" w:cs="仿宋"/>
          <w:b w:val="0"/>
          <w:bCs w:val="0"/>
          <w:sz w:val="32"/>
          <w:szCs w:val="32"/>
        </w:rPr>
        <w:t>深度报道和新闻评论，</w:t>
      </w:r>
      <w:r>
        <w:rPr>
          <w:rFonts w:hint="eastAsia" w:ascii="仿宋" w:hAnsi="仿宋" w:eastAsia="仿宋" w:cs="仿宋"/>
          <w:b w:val="0"/>
          <w:bCs w:val="0"/>
          <w:sz w:val="32"/>
          <w:szCs w:val="32"/>
          <w:lang w:val="en-US" w:eastAsia="zh-CN"/>
        </w:rPr>
        <w:t>理论版、副刊、专版专栏等品牌建设和融合创新，数据新闻服务，智库型产品，垂类新闻信息产品等。</w:t>
      </w:r>
    </w:p>
    <w:p w14:paraId="0EBA5116">
      <w:pPr>
        <w:keepNext w:val="0"/>
        <w:keepLines w:val="0"/>
        <w:pageBreakBefore w:val="0"/>
        <w:widowControl w:val="0"/>
        <w:kinsoku/>
        <w:wordWrap/>
        <w:overflowPunct/>
        <w:topLinePunct w:val="0"/>
        <w:autoSpaceDE/>
        <w:autoSpaceDN/>
        <w:bidi w:val="0"/>
        <w:adjustRightInd/>
        <w:snapToGrid/>
        <w:ind w:firstLine="643" w:firstLineChars="200"/>
        <w:contextualSpacing/>
        <w:textAlignment w:val="auto"/>
        <w:rPr>
          <w:rFonts w:hint="eastAsia" w:ascii="仿宋" w:hAnsi="仿宋" w:eastAsia="仿宋" w:cs="仿宋"/>
          <w:b/>
          <w:bCs/>
          <w:sz w:val="32"/>
          <w:szCs w:val="32"/>
          <w:lang w:val="en-US" w:eastAsia="zh-CN"/>
        </w:rPr>
      </w:pPr>
    </w:p>
    <w:p w14:paraId="3E07C9D3">
      <w:pPr>
        <w:keepNext w:val="0"/>
        <w:keepLines w:val="0"/>
        <w:pageBreakBefore w:val="0"/>
        <w:widowControl w:val="0"/>
        <w:kinsoku/>
        <w:wordWrap/>
        <w:overflowPunct/>
        <w:topLinePunct w:val="0"/>
        <w:autoSpaceDE/>
        <w:autoSpaceDN/>
        <w:bidi w:val="0"/>
        <w:adjustRightInd/>
        <w:snapToGrid/>
        <w:ind w:firstLine="643" w:firstLineChars="200"/>
        <w:contextualSpacing/>
        <w:textAlignment w:val="auto"/>
        <w:rPr>
          <w:rFonts w:hint="eastAsia" w:ascii="仿宋" w:hAnsi="仿宋" w:eastAsia="仿宋" w:cs="仿宋"/>
          <w:b/>
          <w:bCs/>
          <w:sz w:val="32"/>
          <w:szCs w:val="32"/>
        </w:rPr>
      </w:pPr>
      <w:bookmarkStart w:id="0" w:name="_GoBack"/>
      <w:bookmarkEnd w:id="0"/>
      <w:r>
        <w:rPr>
          <w:rFonts w:hint="eastAsia" w:ascii="仿宋" w:hAnsi="仿宋" w:eastAsia="仿宋" w:cs="仿宋"/>
          <w:b/>
          <w:bCs/>
          <w:sz w:val="32"/>
          <w:szCs w:val="32"/>
          <w:lang w:val="en-US" w:eastAsia="zh-CN"/>
        </w:rPr>
        <w:t>（三）运营服务创新类</w:t>
      </w:r>
    </w:p>
    <w:p w14:paraId="17A35628">
      <w:pPr>
        <w:keepNext w:val="0"/>
        <w:keepLines w:val="0"/>
        <w:pageBreakBefore w:val="0"/>
        <w:widowControl w:val="0"/>
        <w:kinsoku/>
        <w:wordWrap/>
        <w:overflowPunct/>
        <w:topLinePunct w:val="0"/>
        <w:autoSpaceDE/>
        <w:autoSpaceDN/>
        <w:bidi w:val="0"/>
        <w:adjustRightInd/>
        <w:snapToGrid/>
        <w:ind w:firstLine="640" w:firstLineChars="200"/>
        <w:contextualSpacing/>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本类案例侧重反映行业媒体坚持把社会效益放在首位、实现社会效益和经济效益相统一，发挥主流媒体影响力和公信力，整合优质资源，开展跨界协同创新，服务党委政府中心工作，服务社会治理，服务群众生活，在拓展“新闻+文化、政务、服务”功能、提升主流媒体价值等方面开展的创新性工作。具体案例包括融合运营一体化政务服务平台、智能媒资平台、智慧社区等，结合开展基层党建、舆情监测、文化生活、文旅会展、职业培训及教育、康养、体育等民生服务。</w:t>
      </w:r>
    </w:p>
    <w:p w14:paraId="2C3E4456">
      <w:pPr>
        <w:keepNext w:val="0"/>
        <w:keepLines w:val="0"/>
        <w:pageBreakBefore w:val="0"/>
        <w:widowControl w:val="0"/>
        <w:kinsoku/>
        <w:wordWrap/>
        <w:overflowPunct/>
        <w:topLinePunct w:val="0"/>
        <w:autoSpaceDE/>
        <w:autoSpaceDN/>
        <w:bidi w:val="0"/>
        <w:adjustRightInd/>
        <w:snapToGrid/>
        <w:ind w:firstLine="643" w:firstLineChars="200"/>
        <w:contextualSpacing/>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（四）数智技术应用类</w:t>
      </w:r>
    </w:p>
    <w:p w14:paraId="2002A1F1">
      <w:pPr>
        <w:keepNext w:val="0"/>
        <w:keepLines w:val="0"/>
        <w:pageBreakBefore w:val="0"/>
        <w:widowControl w:val="0"/>
        <w:kinsoku/>
        <w:wordWrap/>
        <w:overflowPunct/>
        <w:topLinePunct w:val="0"/>
        <w:autoSpaceDE/>
        <w:autoSpaceDN/>
        <w:bidi w:val="0"/>
        <w:adjustRightInd/>
        <w:snapToGrid/>
        <w:ind w:firstLine="640" w:firstLineChars="200"/>
        <w:contextualSpacing/>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本类案例侧重反映行业媒体紧跟信息技术发展趋势，主动应用人工智能、大数据、云计算、物联网等数智技术，在策采编发评全流程优化和应用场景创新等方面进行的有效探索。具体案例包括主流媒体算法建设，</w:t>
      </w:r>
      <w:r>
        <w:rPr>
          <w:rFonts w:hint="eastAsia" w:ascii="仿宋" w:hAnsi="仿宋" w:eastAsia="仿宋" w:cs="仿宋"/>
          <w:b w:val="0"/>
          <w:bCs w:val="0"/>
          <w:sz w:val="32"/>
          <w:szCs w:val="32"/>
        </w:rPr>
        <w:t>生成式人工智能技术应用</w:t>
      </w:r>
      <w:r>
        <w:rPr>
          <w:rFonts w:hint="eastAsia" w:ascii="仿宋" w:hAnsi="仿宋" w:eastAsia="仿宋" w:cs="仿宋"/>
          <w:b w:val="0"/>
          <w:bCs w:val="0"/>
          <w:sz w:val="32"/>
          <w:szCs w:val="32"/>
          <w:lang w:val="en-US" w:eastAsia="zh-CN"/>
        </w:rPr>
        <w:t>语料库等传媒类大模型研发与应用，针对个性化需求的数智人或机器人项目、智能体建设、数据资产应用，智能化数据平台等未来传播场景支撑建设，针对内容版权保护的区块链项目等。</w:t>
      </w:r>
    </w:p>
    <w:p w14:paraId="34FD53FE">
      <w:pPr>
        <w:keepNext w:val="0"/>
        <w:keepLines w:val="0"/>
        <w:pageBreakBefore w:val="0"/>
        <w:widowControl w:val="0"/>
        <w:kinsoku/>
        <w:wordWrap/>
        <w:overflowPunct/>
        <w:topLinePunct w:val="0"/>
        <w:autoSpaceDE/>
        <w:autoSpaceDN/>
        <w:bidi w:val="0"/>
        <w:adjustRightInd/>
        <w:snapToGrid/>
        <w:ind w:firstLine="643" w:firstLineChars="200"/>
        <w:contextualSpacing/>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（五）体制机制创新类</w:t>
      </w:r>
    </w:p>
    <w:p w14:paraId="2B5AC51B">
      <w:pPr>
        <w:keepNext w:val="0"/>
        <w:keepLines w:val="0"/>
        <w:pageBreakBefore w:val="0"/>
        <w:widowControl w:val="0"/>
        <w:kinsoku/>
        <w:wordWrap/>
        <w:overflowPunct/>
        <w:topLinePunct w:val="0"/>
        <w:autoSpaceDE/>
        <w:autoSpaceDN/>
        <w:bidi w:val="0"/>
        <w:adjustRightInd/>
        <w:snapToGrid/>
        <w:ind w:firstLine="640" w:firstLineChars="200"/>
        <w:contextualSpacing/>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本类案例侧重反映</w:t>
      </w:r>
      <w:r>
        <w:rPr>
          <w:rFonts w:hint="eastAsia" w:ascii="仿宋" w:hAnsi="仿宋" w:eastAsia="仿宋" w:cs="仿宋"/>
          <w:b w:val="0"/>
          <w:bCs w:val="0"/>
          <w:sz w:val="32"/>
          <w:szCs w:val="32"/>
          <w:lang w:val="en-US" w:eastAsia="zh-CN"/>
        </w:rPr>
        <w:t>行业媒体</w:t>
      </w:r>
      <w:r>
        <w:rPr>
          <w:rFonts w:hint="eastAsia" w:ascii="仿宋" w:hAnsi="仿宋" w:eastAsia="仿宋" w:cs="仿宋"/>
          <w:b w:val="0"/>
          <w:bCs w:val="0"/>
          <w:sz w:val="32"/>
          <w:szCs w:val="32"/>
        </w:rPr>
        <w:t>加快推进适应全媒体发展的体制机制改革，在发展内驱力提升、从业者积极性提升、市场应变能力提升等方面开展的创新性工作。具体案例包括管理体制优化创新，组织结构变革，培育建设融媒体工作室，建立以激励优质内容生产为导向的评价体系，适配建设高水平人才队伍的选人用人及考核分配机制，数据决策、资源协同共享、外部合作、内容安全管控等制度机制创新。</w:t>
      </w:r>
    </w:p>
    <w:p w14:paraId="6E057096">
      <w:pPr>
        <w:keepNext w:val="0"/>
        <w:keepLines w:val="0"/>
        <w:pageBreakBefore w:val="0"/>
        <w:widowControl w:val="0"/>
        <w:kinsoku/>
        <w:wordWrap/>
        <w:overflowPunct/>
        <w:topLinePunct w:val="0"/>
        <w:autoSpaceDE/>
        <w:autoSpaceDN/>
        <w:bidi w:val="0"/>
        <w:adjustRightInd/>
        <w:snapToGrid/>
        <w:ind w:firstLine="643" w:firstLineChars="200"/>
        <w:contextualSpacing/>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（六）国际传播能力建设类</w:t>
      </w:r>
    </w:p>
    <w:p w14:paraId="7383D489">
      <w:pPr>
        <w:keepNext w:val="0"/>
        <w:keepLines w:val="0"/>
        <w:pageBreakBefore w:val="0"/>
        <w:widowControl w:val="0"/>
        <w:kinsoku/>
        <w:wordWrap/>
        <w:overflowPunct/>
        <w:topLinePunct w:val="0"/>
        <w:autoSpaceDE/>
        <w:autoSpaceDN/>
        <w:bidi w:val="0"/>
        <w:adjustRightInd/>
        <w:snapToGrid/>
        <w:ind w:firstLine="640" w:firstLineChars="200"/>
        <w:contextualSpacing/>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本类案例侧重反映行业媒体</w:t>
      </w:r>
      <w:r>
        <w:rPr>
          <w:rFonts w:hint="eastAsia" w:ascii="仿宋" w:hAnsi="仿宋" w:eastAsia="仿宋" w:cs="仿宋"/>
          <w:b w:val="0"/>
          <w:bCs w:val="0"/>
          <w:sz w:val="32"/>
          <w:szCs w:val="32"/>
        </w:rPr>
        <w:t>围绕国家层面加强国际传播能力建设的要求，在完善国际传播机制，建立健全国际传播工作责任体系，创新传播载体方式，用好新媒体手段，构建中国话语和中国叙事体系，提高讲好中国故事的水平，加强区域国别研究，开展重点传播、精准传播等方面的探索。具体案例包括重大战略的对外传播产品、国际传播内容品牌、跨国合作传播项目、国际涉华舆情引导项目，多语种智能传播平台、国际社交媒体账号建设运营等。</w:t>
      </w:r>
    </w:p>
    <w:p w14:paraId="70E87250">
      <w:pPr>
        <w:contextualSpacing/>
        <w:rPr>
          <w:rFonts w:ascii="仿宋" w:hAnsi="仿宋" w:eastAsia="仿宋" w:cs="仿宋"/>
          <w:b/>
          <w:bCs/>
          <w:sz w:val="32"/>
          <w:szCs w:val="32"/>
        </w:rPr>
      </w:pPr>
      <w:r>
        <w:rPr>
          <w:rFonts w:hint="eastAsia" w:ascii="仿宋" w:hAnsi="仿宋" w:eastAsia="仿宋" w:cs="仿宋"/>
          <w:b/>
          <w:bCs/>
          <w:sz w:val="32"/>
          <w:szCs w:val="32"/>
        </w:rPr>
        <w:t>　　二、申报条件</w:t>
      </w:r>
    </w:p>
    <w:p w14:paraId="0346801F">
      <w:pPr>
        <w:ind w:firstLine="560"/>
        <w:contextualSpacing/>
        <w:rPr>
          <w:rFonts w:ascii="仿宋" w:hAnsi="仿宋" w:eastAsia="仿宋" w:cs="仿宋"/>
          <w:sz w:val="32"/>
          <w:szCs w:val="32"/>
        </w:rPr>
      </w:pPr>
      <w:r>
        <w:rPr>
          <w:rFonts w:hint="eastAsia" w:ascii="仿宋" w:hAnsi="仿宋" w:eastAsia="仿宋" w:cs="仿宋"/>
          <w:sz w:val="32"/>
          <w:szCs w:val="32"/>
        </w:rPr>
        <w:t>（一）申报案例原则上在202</w:t>
      </w:r>
      <w:r>
        <w:rPr>
          <w:rFonts w:hint="eastAsia" w:ascii="仿宋" w:hAnsi="仿宋" w:eastAsia="仿宋" w:cs="仿宋"/>
          <w:sz w:val="32"/>
          <w:szCs w:val="32"/>
          <w:lang w:val="en-US" w:eastAsia="zh-CN"/>
        </w:rPr>
        <w:t>5</w:t>
      </w:r>
      <w:r>
        <w:rPr>
          <w:rFonts w:hint="eastAsia" w:ascii="仿宋" w:hAnsi="仿宋" w:eastAsia="仿宋" w:cs="仿宋"/>
          <w:sz w:val="32"/>
          <w:szCs w:val="32"/>
        </w:rPr>
        <w:t>年12月31日</w:t>
      </w:r>
      <w:r>
        <w:rPr>
          <w:rFonts w:hint="eastAsia" w:ascii="仿宋" w:hAnsi="仿宋" w:eastAsia="仿宋" w:cs="仿宋"/>
          <w:color w:val="202020"/>
          <w:sz w:val="32"/>
          <w:szCs w:val="32"/>
          <w:shd w:val="clear" w:color="auto" w:fill="FFFFFF"/>
        </w:rPr>
        <w:t>内</w:t>
      </w:r>
      <w:r>
        <w:rPr>
          <w:rFonts w:hint="eastAsia" w:ascii="仿宋" w:hAnsi="仿宋" w:eastAsia="仿宋" w:cs="仿宋"/>
          <w:sz w:val="32"/>
          <w:szCs w:val="32"/>
        </w:rPr>
        <w:t>已完成上线，并且正常运营，在建或计划中案例不得申报。</w:t>
      </w:r>
    </w:p>
    <w:p w14:paraId="4A72F150">
      <w:pPr>
        <w:ind w:firstLine="560"/>
        <w:contextualSpacing/>
        <w:rPr>
          <w:rFonts w:ascii="仿宋" w:hAnsi="仿宋" w:eastAsia="仿宋" w:cs="仿宋"/>
          <w:sz w:val="32"/>
          <w:szCs w:val="32"/>
        </w:rPr>
      </w:pPr>
      <w:r>
        <w:rPr>
          <w:rFonts w:hint="eastAsia" w:ascii="仿宋" w:hAnsi="仿宋" w:eastAsia="仿宋" w:cs="仿宋"/>
          <w:sz w:val="32"/>
          <w:szCs w:val="32"/>
        </w:rPr>
        <w:t>（二）申报单位须具备对所申报案例具有合法的知识产权或取得合法授权；申报主体与案例的实施主体必须统一；近三年无违法违纪记录。</w:t>
      </w:r>
    </w:p>
    <w:p w14:paraId="27FA4699">
      <w:pPr>
        <w:ind w:firstLine="560"/>
        <w:contextualSpacing/>
        <w:rPr>
          <w:rFonts w:ascii="仿宋" w:hAnsi="仿宋" w:eastAsia="仿宋" w:cs="仿宋"/>
          <w:sz w:val="32"/>
          <w:szCs w:val="32"/>
        </w:rPr>
      </w:pPr>
      <w:r>
        <w:rPr>
          <w:rStyle w:val="7"/>
          <w:rFonts w:hint="eastAsia" w:ascii="仿宋" w:hAnsi="仿宋" w:eastAsia="仿宋" w:cs="仿宋"/>
          <w:b w:val="0"/>
          <w:bCs/>
          <w:sz w:val="32"/>
          <w:szCs w:val="32"/>
          <w:shd w:val="clear" w:color="auto" w:fill="FFFFFF"/>
        </w:rPr>
        <w:t>（三）每个类型案例均可申报，但每个类型</w:t>
      </w:r>
      <w:r>
        <w:rPr>
          <w:rFonts w:hint="eastAsia" w:ascii="仿宋" w:hAnsi="仿宋" w:eastAsia="仿宋" w:cs="仿宋"/>
          <w:sz w:val="32"/>
          <w:szCs w:val="32"/>
        </w:rPr>
        <w:t>最多限制申报3个案例。</w:t>
      </w:r>
    </w:p>
    <w:p w14:paraId="422D952B">
      <w:pPr>
        <w:widowControl/>
        <w:kinsoku w:val="0"/>
        <w:autoSpaceDE w:val="0"/>
        <w:autoSpaceDN w:val="0"/>
        <w:adjustRightInd w:val="0"/>
        <w:ind w:firstLine="640" w:firstLineChars="200"/>
        <w:contextualSpacing/>
        <w:textAlignment w:val="baseline"/>
        <w:rPr>
          <w:rFonts w:ascii="仿宋" w:hAnsi="仿宋" w:eastAsia="仿宋" w:cs="仿宋"/>
          <w:sz w:val="32"/>
          <w:szCs w:val="32"/>
        </w:rPr>
      </w:pPr>
      <w:r>
        <w:rPr>
          <w:rFonts w:hint="eastAsia" w:ascii="仿宋" w:hAnsi="仿宋" w:eastAsia="仿宋" w:cs="仿宋"/>
          <w:sz w:val="32"/>
          <w:szCs w:val="32"/>
        </w:rPr>
        <w:t>(四)申报过前两年“中国行业媒体高质量发展创新案例征集项目”的案例，但未入选优秀案例的，本年度如有明显的迭代更新，可再次申报。</w:t>
      </w:r>
    </w:p>
    <w:p w14:paraId="1F1827C8">
      <w:pPr>
        <w:pStyle w:val="4"/>
        <w:widowControl/>
        <w:shd w:val="clear" w:color="auto" w:fill="FFFFFF"/>
        <w:spacing w:beforeAutospacing="0" w:afterAutospacing="0"/>
        <w:ind w:firstLine="420"/>
        <w:contextualSpacing/>
        <w:rPr>
          <w:rFonts w:ascii="仿宋" w:hAnsi="仿宋" w:eastAsia="仿宋" w:cs="仿宋"/>
          <w:color w:val="202020"/>
          <w:sz w:val="32"/>
          <w:szCs w:val="32"/>
          <w:shd w:val="clear" w:color="auto" w:fill="FFFFFF"/>
        </w:rPr>
      </w:pPr>
      <w:r>
        <w:rPr>
          <w:rFonts w:hint="eastAsia" w:ascii="仿宋" w:hAnsi="仿宋" w:eastAsia="仿宋" w:cs="仿宋"/>
          <w:sz w:val="32"/>
          <w:szCs w:val="32"/>
          <w:shd w:val="clear" w:color="auto" w:fill="FFFFFF"/>
        </w:rPr>
        <w:t>（五）已入选前两年“中国行业媒体高质量发展创新案例”的优秀案例，不得重复申报</w:t>
      </w:r>
      <w:r>
        <w:rPr>
          <w:rFonts w:hint="eastAsia" w:ascii="仿宋" w:hAnsi="仿宋" w:eastAsia="仿宋" w:cs="仿宋"/>
          <w:color w:val="202020"/>
          <w:sz w:val="32"/>
          <w:szCs w:val="32"/>
          <w:shd w:val="clear" w:color="auto" w:fill="FFFFFF"/>
        </w:rPr>
        <w:t>。</w:t>
      </w:r>
    </w:p>
    <w:p w14:paraId="185F2FE7">
      <w:pPr>
        <w:ind w:firstLine="600"/>
        <w:contextualSpacing/>
        <w:rPr>
          <w:rFonts w:ascii="仿宋" w:hAnsi="仿宋" w:eastAsia="仿宋" w:cs="仿宋"/>
          <w:b/>
          <w:sz w:val="32"/>
          <w:szCs w:val="32"/>
        </w:rPr>
      </w:pPr>
      <w:r>
        <w:rPr>
          <w:rFonts w:hint="eastAsia" w:ascii="仿宋" w:hAnsi="仿宋" w:eastAsia="仿宋" w:cs="仿宋"/>
          <w:b/>
          <w:sz w:val="32"/>
          <w:szCs w:val="32"/>
        </w:rPr>
        <w:t>三、申报要求</w:t>
      </w:r>
    </w:p>
    <w:p w14:paraId="0DD13623">
      <w:pPr>
        <w:ind w:firstLine="600"/>
        <w:contextualSpacing/>
        <w:rPr>
          <w:rFonts w:ascii="仿宋" w:hAnsi="仿宋" w:eastAsia="仿宋" w:cs="仿宋"/>
          <w:sz w:val="32"/>
          <w:szCs w:val="32"/>
        </w:rPr>
      </w:pPr>
      <w:r>
        <w:rPr>
          <w:rFonts w:hint="eastAsia" w:ascii="仿宋" w:hAnsi="仿宋" w:eastAsia="仿宋" w:cs="仿宋"/>
          <w:sz w:val="32"/>
          <w:szCs w:val="32"/>
        </w:rPr>
        <w:t>各单位报送的案例应符合以下要求：</w:t>
      </w:r>
    </w:p>
    <w:p w14:paraId="38AA350A">
      <w:pPr>
        <w:ind w:firstLine="600"/>
        <w:contextualSpacing/>
        <w:rPr>
          <w:rFonts w:ascii="仿宋" w:hAnsi="仿宋" w:eastAsia="仿宋" w:cs="仿宋"/>
          <w:sz w:val="32"/>
          <w:szCs w:val="32"/>
        </w:rPr>
      </w:pPr>
      <w:r>
        <w:rPr>
          <w:rFonts w:hint="eastAsia" w:ascii="仿宋" w:hAnsi="仿宋" w:eastAsia="仿宋" w:cs="仿宋"/>
          <w:sz w:val="32"/>
          <w:szCs w:val="32"/>
        </w:rPr>
        <w:t>（一）政治性。符合中央关于推进媒体高质量发展的原则要求，坚持正确政治方向、舆论导向、价值取向，充分体现行业媒体相关机构的主动作为和进取精神。</w:t>
      </w:r>
    </w:p>
    <w:p w14:paraId="297FB717">
      <w:pPr>
        <w:ind w:firstLine="600"/>
        <w:contextualSpacing/>
        <w:rPr>
          <w:rFonts w:ascii="仿宋" w:hAnsi="仿宋" w:eastAsia="仿宋" w:cs="仿宋"/>
          <w:sz w:val="32"/>
          <w:szCs w:val="32"/>
        </w:rPr>
      </w:pPr>
      <w:r>
        <w:rPr>
          <w:rFonts w:hint="eastAsia" w:ascii="仿宋" w:hAnsi="仿宋" w:eastAsia="仿宋" w:cs="仿宋"/>
          <w:sz w:val="32"/>
          <w:szCs w:val="32"/>
        </w:rPr>
        <w:t>（二）创新性。针对媒体高质量发展的重点和难点，在理念思路、内容形式、手段方法、路径模式上有突出创新，在加强内容建设、强化先进技术引领、创新运营管理方式、深化体制机制改革、培养全媒体人才队伍等重点领域和关键环节有创新进展和务实举措。</w:t>
      </w:r>
    </w:p>
    <w:p w14:paraId="01B7CD3C">
      <w:pPr>
        <w:ind w:firstLine="600"/>
        <w:contextualSpacing/>
        <w:rPr>
          <w:rFonts w:ascii="仿宋" w:hAnsi="仿宋" w:eastAsia="仿宋" w:cs="仿宋"/>
          <w:sz w:val="32"/>
          <w:szCs w:val="32"/>
        </w:rPr>
      </w:pPr>
      <w:r>
        <w:rPr>
          <w:rFonts w:hint="eastAsia" w:ascii="仿宋" w:hAnsi="仿宋" w:eastAsia="仿宋" w:cs="仿宋"/>
          <w:sz w:val="32"/>
          <w:szCs w:val="32"/>
        </w:rPr>
        <w:t>（三）实效性。实效性突出，社会效益和经济效益显著，可持续发展，能够有效提升行业媒体的传播力、引导力、影响力、公信力、竞争力，有效壮大主流思想舆论阵地，加快建设新型主流媒体。</w:t>
      </w:r>
    </w:p>
    <w:p w14:paraId="50B46C59">
      <w:pPr>
        <w:ind w:firstLine="600"/>
        <w:contextualSpacing/>
        <w:rPr>
          <w:rFonts w:ascii="仿宋" w:hAnsi="仿宋" w:eastAsia="仿宋" w:cs="仿宋"/>
          <w:sz w:val="32"/>
          <w:szCs w:val="32"/>
        </w:rPr>
      </w:pPr>
      <w:r>
        <w:rPr>
          <w:rFonts w:hint="eastAsia" w:ascii="仿宋" w:hAnsi="仿宋" w:eastAsia="仿宋" w:cs="仿宋"/>
          <w:sz w:val="32"/>
          <w:szCs w:val="32"/>
        </w:rPr>
        <w:t>（四）典型性。案例要具有代表性，其模式和经验可复制、可推广，对各行业媒体高质量发展工作有较强的借鉴意义。成长型项目应具有可预期的良好发展前景和广阔的发展空间。</w:t>
      </w:r>
    </w:p>
    <w:p w14:paraId="29CA37FC">
      <w:pPr>
        <w:ind w:firstLine="600"/>
        <w:contextualSpacing/>
        <w:rPr>
          <w:rFonts w:ascii="仿宋" w:hAnsi="仿宋" w:eastAsia="仿宋" w:cs="仿宋"/>
          <w:b/>
          <w:sz w:val="32"/>
          <w:szCs w:val="32"/>
        </w:rPr>
      </w:pPr>
      <w:r>
        <w:rPr>
          <w:rFonts w:hint="eastAsia" w:ascii="仿宋" w:hAnsi="仿宋" w:eastAsia="仿宋" w:cs="仿宋"/>
          <w:b/>
          <w:sz w:val="32"/>
          <w:szCs w:val="32"/>
        </w:rPr>
        <w:t>四、申报材料</w:t>
      </w:r>
    </w:p>
    <w:p w14:paraId="2F6273DE">
      <w:pPr>
        <w:ind w:firstLine="600"/>
        <w:contextualSpacing/>
        <w:rPr>
          <w:rFonts w:ascii="仿宋" w:hAnsi="仿宋" w:eastAsia="仿宋" w:cs="仿宋"/>
          <w:sz w:val="32"/>
          <w:szCs w:val="32"/>
        </w:rPr>
      </w:pPr>
      <w:r>
        <w:rPr>
          <w:rFonts w:hint="eastAsia" w:ascii="仿宋" w:hAnsi="仿宋" w:eastAsia="仿宋" w:cs="仿宋"/>
          <w:sz w:val="32"/>
          <w:szCs w:val="32"/>
        </w:rPr>
        <w:t>（一）申报单位应按要求如实填报《</w:t>
      </w:r>
      <w:r>
        <w:rPr>
          <w:rFonts w:hint="eastAsia" w:ascii="仿宋" w:hAnsi="仿宋" w:eastAsia="仿宋" w:cs="仿宋"/>
          <w:sz w:val="32"/>
          <w:szCs w:val="32"/>
          <w:lang w:val="en-US" w:eastAsia="zh-CN"/>
        </w:rPr>
        <w:t>2026</w:t>
      </w:r>
      <w:r>
        <w:rPr>
          <w:rFonts w:hint="eastAsia" w:ascii="仿宋" w:hAnsi="仿宋" w:eastAsia="仿宋" w:cs="仿宋"/>
          <w:sz w:val="32"/>
          <w:szCs w:val="32"/>
        </w:rPr>
        <w:t>年中国行业媒体高质量发展创新案例申报表》，并根据申报类型附加相关可证性材料，由主要负责人签字后加盖申报单位公章。</w:t>
      </w:r>
    </w:p>
    <w:p w14:paraId="4DE1DEA0">
      <w:pPr>
        <w:ind w:firstLine="600"/>
        <w:contextualSpacing/>
        <w:rPr>
          <w:rFonts w:ascii="仿宋" w:hAnsi="仿宋" w:eastAsia="仿宋" w:cs="仿宋"/>
          <w:sz w:val="32"/>
          <w:szCs w:val="32"/>
        </w:rPr>
      </w:pPr>
      <w:r>
        <w:rPr>
          <w:rFonts w:hint="eastAsia" w:ascii="仿宋" w:hAnsi="仿宋" w:eastAsia="仿宋" w:cs="仿宋"/>
          <w:sz w:val="32"/>
          <w:szCs w:val="32"/>
        </w:rPr>
        <w:t>（二）相关证明材料。包括相关荣誉证书复印件、产品或服务说明以及能够证明申报案例综合质量和效益的其他资料。</w:t>
      </w:r>
    </w:p>
    <w:p w14:paraId="386E0A08">
      <w:pPr>
        <w:ind w:firstLine="640" w:firstLineChars="200"/>
        <w:contextualSpacing/>
        <w:rPr>
          <w:rFonts w:ascii="仿宋" w:hAnsi="仿宋" w:eastAsia="仿宋" w:cs="仿宋"/>
          <w:sz w:val="32"/>
          <w:szCs w:val="32"/>
        </w:rPr>
      </w:pPr>
      <w:r>
        <w:rPr>
          <w:rFonts w:hint="eastAsia" w:ascii="仿宋" w:hAnsi="仿宋" w:eastAsia="仿宋" w:cs="仿宋"/>
          <w:sz w:val="32"/>
          <w:szCs w:val="32"/>
        </w:rPr>
        <w:t>（三）电子版申报材料：《</w:t>
      </w:r>
      <w:r>
        <w:rPr>
          <w:rFonts w:hint="eastAsia" w:ascii="仿宋" w:hAnsi="仿宋" w:eastAsia="仿宋" w:cs="仿宋"/>
          <w:sz w:val="32"/>
          <w:szCs w:val="32"/>
          <w:lang w:val="en-US" w:eastAsia="zh-CN"/>
        </w:rPr>
        <w:t>2026</w:t>
      </w:r>
      <w:r>
        <w:rPr>
          <w:rFonts w:hint="eastAsia" w:ascii="仿宋" w:hAnsi="仿宋" w:eastAsia="仿宋" w:cs="仿宋"/>
          <w:sz w:val="32"/>
          <w:szCs w:val="32"/>
        </w:rPr>
        <w:t xml:space="preserve">年中国行业媒体高质量发展创新案例申报表》须为 word 文档格式；以附件形式提交的相关资料，可为pdf、jpg 、mp4或mov格式。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0848F">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BA9BAC">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BBA9BAC">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4DF41EA4"/>
    <w:rsid w:val="005D39A3"/>
    <w:rsid w:val="00A76D9A"/>
    <w:rsid w:val="00FB55E0"/>
    <w:rsid w:val="00FD5A14"/>
    <w:rsid w:val="00FE2785"/>
    <w:rsid w:val="01431A4A"/>
    <w:rsid w:val="04E92909"/>
    <w:rsid w:val="08C0755E"/>
    <w:rsid w:val="0BFF5A10"/>
    <w:rsid w:val="11337C8C"/>
    <w:rsid w:val="1AAC6CE1"/>
    <w:rsid w:val="1BA25B08"/>
    <w:rsid w:val="1F923E71"/>
    <w:rsid w:val="22734C95"/>
    <w:rsid w:val="23DE00EE"/>
    <w:rsid w:val="341E27F0"/>
    <w:rsid w:val="36A05610"/>
    <w:rsid w:val="383374BF"/>
    <w:rsid w:val="423F3D1C"/>
    <w:rsid w:val="46683A19"/>
    <w:rsid w:val="49C261C2"/>
    <w:rsid w:val="4A867FC5"/>
    <w:rsid w:val="4AA1441B"/>
    <w:rsid w:val="4DF41EA4"/>
    <w:rsid w:val="524A1E25"/>
    <w:rsid w:val="52C04C18"/>
    <w:rsid w:val="5D4C64CA"/>
    <w:rsid w:val="5DB71380"/>
    <w:rsid w:val="5ED75068"/>
    <w:rsid w:val="61DE64C6"/>
    <w:rsid w:val="62327CEF"/>
    <w:rsid w:val="62872FD2"/>
    <w:rsid w:val="6296083E"/>
    <w:rsid w:val="630A0AE8"/>
    <w:rsid w:val="666F2C11"/>
    <w:rsid w:val="667F4675"/>
    <w:rsid w:val="729624A5"/>
    <w:rsid w:val="7B615D46"/>
    <w:rsid w:val="FF68D715"/>
    <w:rsid w:val="FFBF7E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qFormat/>
    <w:uiPriority w:val="0"/>
    <w:rPr>
      <w:b/>
    </w:rPr>
  </w:style>
  <w:style w:type="character" w:customStyle="1" w:styleId="8">
    <w:name w:val="页眉 字符"/>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2047</Words>
  <Characters>2075</Characters>
  <Lines>13</Lines>
  <Paragraphs>3</Paragraphs>
  <TotalTime>2</TotalTime>
  <ScaleCrop>false</ScaleCrop>
  <LinksUpToDate>false</LinksUpToDate>
  <CharactersWithSpaces>2110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2022-08-23T10:37:00Z</dcterms:created>
  <dc:creator>LENOVO</dc:creator>
  <cp:lastModifiedBy>villain </cp:lastModifiedBy>
  <dcterms:modified xsi:type="dcterms:W3CDTF">2026-02-06T05:42:08Z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B7DDF20C23A44E04AC191BAFA798F7E2_13</vt:lpwstr>
  </property>
  <property fmtid="{D5CDD505-2E9C-101B-9397-08002B2CF9AE}" pid="4" name="KSOTemplateDocerSaveRecord">
    <vt:lpwstr>eyJoZGlkIjoiNTc2NTRlMDA3YjBhOTI1ZmNkNDJmZWE0MGY2MWQ2OTYiLCJ1c2VySWQiOiIzNzg1OTI5MDkifQ==</vt:lpwstr>
  </property>
</Properties>
</file>