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9C3BF" w14:textId="298D2456" w:rsidR="0058615A" w:rsidRDefault="0058615A" w:rsidP="0058615A">
      <w:pPr>
        <w:spacing w:line="500" w:lineRule="exact"/>
        <w:jc w:val="center"/>
        <w:rPr>
          <w:rFonts w:ascii="华文中宋" w:eastAsia="华文中宋" w:hAnsi="华文中宋"/>
          <w:b/>
          <w:bCs/>
          <w:sz w:val="36"/>
          <w:szCs w:val="36"/>
        </w:rPr>
      </w:pPr>
      <w:r w:rsidRPr="0058615A">
        <w:rPr>
          <w:rFonts w:ascii="华文中宋" w:eastAsia="华文中宋" w:hAnsi="华文中宋"/>
          <w:b/>
          <w:bCs/>
          <w:sz w:val="36"/>
          <w:szCs w:val="36"/>
        </w:rPr>
        <w:t>金交所走向终局：金融泛化野蛮生长 全行业将被关停</w:t>
      </w:r>
    </w:p>
    <w:p w14:paraId="149C758B" w14:textId="77777777" w:rsidR="0058615A" w:rsidRDefault="0058615A" w:rsidP="0058615A">
      <w:pPr>
        <w:spacing w:line="500" w:lineRule="exact"/>
        <w:jc w:val="center"/>
        <w:rPr>
          <w:rFonts w:ascii="华文中宋" w:eastAsia="华文中宋" w:hAnsi="华文中宋" w:hint="eastAsia"/>
          <w:b/>
          <w:bCs/>
          <w:sz w:val="36"/>
          <w:szCs w:val="36"/>
        </w:rPr>
      </w:pPr>
    </w:p>
    <w:p w14:paraId="7BF60E3D" w14:textId="51561E67" w:rsidR="0058615A" w:rsidRPr="0058615A" w:rsidRDefault="0058615A" w:rsidP="0058615A">
      <w:pPr>
        <w:spacing w:beforeLines="50" w:before="156" w:afterLines="50" w:after="156" w:line="360" w:lineRule="exact"/>
        <w:jc w:val="center"/>
        <w:rPr>
          <w:rFonts w:ascii="宋体" w:eastAsia="宋体" w:hAnsi="宋体" w:hint="eastAsia"/>
          <w:b/>
          <w:bCs/>
          <w:szCs w:val="21"/>
        </w:rPr>
      </w:pPr>
      <w:r w:rsidRPr="0058615A">
        <w:rPr>
          <w:rFonts w:ascii="宋体" w:eastAsia="宋体" w:hAnsi="宋体"/>
          <w:b/>
          <w:bCs/>
          <w:szCs w:val="21"/>
        </w:rPr>
        <w:t>证券时报记者 田牧</w:t>
      </w:r>
    </w:p>
    <w:p w14:paraId="375A40A1"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酝酿多时后，金交所走向终局的靴子落地。</w:t>
      </w:r>
    </w:p>
    <w:p w14:paraId="1C6E23C7"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3月25日，证券时报记者注意到，湖南、辽宁、西安、重庆四地的地方金融监管部门先后公告，将取消各自辖内金交所的业务资质，今后四地都将不再有金交所，也不再有任何主体具备从事金交</w:t>
      </w:r>
      <w:proofErr w:type="gramStart"/>
      <w:r w:rsidRPr="0058615A">
        <w:rPr>
          <w:rFonts w:ascii="宋体" w:eastAsia="宋体" w:hAnsi="宋体"/>
          <w:b/>
          <w:bCs/>
          <w:szCs w:val="21"/>
        </w:rPr>
        <w:t>所相关</w:t>
      </w:r>
      <w:proofErr w:type="gramEnd"/>
      <w:r w:rsidRPr="0058615A">
        <w:rPr>
          <w:rFonts w:ascii="宋体" w:eastAsia="宋体" w:hAnsi="宋体"/>
          <w:b/>
          <w:bCs/>
          <w:szCs w:val="21"/>
        </w:rPr>
        <w:t>业务的资质。公告进一步对 “伪金交所”风险进行了提示，并要求除中央金融监管部门批准设立的交易场所外，其他地方交易场所或企业不得以“登记、备案”等多种名义，直接或间接为各</w:t>
      </w:r>
      <w:proofErr w:type="gramStart"/>
      <w:r w:rsidRPr="0058615A">
        <w:rPr>
          <w:rFonts w:ascii="宋体" w:eastAsia="宋体" w:hAnsi="宋体"/>
          <w:b/>
          <w:bCs/>
          <w:szCs w:val="21"/>
        </w:rPr>
        <w:t>类发行</w:t>
      </w:r>
      <w:proofErr w:type="gramEnd"/>
      <w:r w:rsidRPr="0058615A">
        <w:rPr>
          <w:rFonts w:ascii="宋体" w:eastAsia="宋体" w:hAnsi="宋体"/>
          <w:b/>
          <w:bCs/>
          <w:szCs w:val="21"/>
        </w:rPr>
        <w:t>和销售非标债务融资产品提供服务和便利。</w:t>
      </w:r>
    </w:p>
    <w:p w14:paraId="485F411D"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记者从多位业内人士及接近监管的权威人士处了解到，上述四省市的动作只是开始，接下来还会有更多地方陆续发布取消辖内金交所资质的公告。这意味着，野蛮生长、在诸多金融风险事件中频繁现身的金交所，作为一类地方交易场所，即将彻底退出历史舞台。</w:t>
      </w:r>
    </w:p>
    <w:p w14:paraId="0951DBBE"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据悉，整体关停某一类别地方交易场所的情况，在国内尚属首次，带来的影响亦将深远。</w:t>
      </w:r>
    </w:p>
    <w:p w14:paraId="2467B236"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对于那些打着金交所旗号、活跃在各类融资活动中的“伪金交所”来说，金交所的彻底退场犹如釜底抽薪，皮之不存，毛将焉附？由此可以预测，那些长期实质从事非法金融活动的“伪金交所”，将面对更加严厉的打击与清理，甚至今后存在被刑事追责的可能。</w:t>
      </w:r>
    </w:p>
    <w:p w14:paraId="392C7F36"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此前，金交所同监管部门反复博弈，滋生很多问题和风险。经过持续几年的专项整治，金交所逐渐式微，不仅机构数量大幅下降，违规业务日渐萎缩，风险存量也已大幅压降。这次，各地出清金交所，可谓根绝顽疾的治本之策。</w:t>
      </w:r>
    </w:p>
    <w:p w14:paraId="7B18F9EE"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金交所——这个曾自诩具有“全能牌照”、无所不能，在灰色融资领域长袖善舞者，将黯然退场。</w:t>
      </w:r>
    </w:p>
    <w:p w14:paraId="08390BF6"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对依附其上的人而言，无异于一声惊雷。</w:t>
      </w:r>
    </w:p>
    <w:p w14:paraId="0F8C9072" w14:textId="77777777" w:rsidR="0058615A" w:rsidRPr="0058615A" w:rsidRDefault="0058615A" w:rsidP="0058615A">
      <w:pPr>
        <w:spacing w:beforeLines="50" w:before="156" w:afterLines="50" w:after="156" w:line="360" w:lineRule="exact"/>
        <w:jc w:val="center"/>
        <w:rPr>
          <w:rFonts w:ascii="华文中宋" w:eastAsia="华文中宋" w:hAnsi="华文中宋"/>
          <w:b/>
          <w:bCs/>
          <w:sz w:val="28"/>
          <w:szCs w:val="28"/>
        </w:rPr>
      </w:pPr>
      <w:r w:rsidRPr="0058615A">
        <w:rPr>
          <w:rFonts w:ascii="华文中宋" w:eastAsia="华文中宋" w:hAnsi="华文中宋"/>
          <w:b/>
          <w:bCs/>
          <w:sz w:val="28"/>
          <w:szCs w:val="28"/>
        </w:rPr>
        <w:t>公告背后</w:t>
      </w:r>
    </w:p>
    <w:p w14:paraId="1E8E221C"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湖南、辽宁、西安、重庆四省市现有的金交所（全称“金融资产交易所”或“金融资产交易中心”等）分别是：湖南金融资产交易中心有限公司、辽宁金融资产交易中心有限责任公司、西安百金金融资产交易中心有限公司（下称“西安百金金交中心”）、重庆金融资产交易所有限责任公司。</w:t>
      </w:r>
    </w:p>
    <w:p w14:paraId="4DBF4498"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记者查看四地发布的公告，主要内容基本一致。四地取消辖内现有金交所的金融资产交易业务资质后，今后都不再有任何金交所。同时再次提示“伪金交所”存在的风险隐患，并针对地方交易场所经营活动做出了规定和说明。</w:t>
      </w:r>
    </w:p>
    <w:p w14:paraId="3DB74C71"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lastRenderedPageBreak/>
        <w:t>根据记者从多位业内人士及接近监管的权威人士处了解到的情况看，此次上述四省市步调一致地宣布取消辖内金交所资质的行为并非偶然，而是接下来所有金交所陆续关停的开始。之所以是上述四省市迈出金交所关停的第一步，也是因为这四家金交所前期风险控制比较严格，已无存量风险。</w:t>
      </w:r>
    </w:p>
    <w:p w14:paraId="3BFC60FE"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换句话说，金交所作为一类地方交易场所，将全部被有序关停退出。今后我国将不再有任何主体可以具备此前金交所的相关资质，不能从事相关业务。过去多年市场熟知的“金交所”，将彻底退出历史舞台。</w:t>
      </w:r>
    </w:p>
    <w:p w14:paraId="5C21D739"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关于是否关停全部金交所的决定似乎在监管内部已酝酿多时。一位曾</w:t>
      </w:r>
      <w:proofErr w:type="gramStart"/>
      <w:r w:rsidRPr="0058615A">
        <w:rPr>
          <w:rFonts w:ascii="宋体" w:eastAsia="宋体" w:hAnsi="宋体"/>
          <w:b/>
          <w:bCs/>
          <w:szCs w:val="21"/>
        </w:rPr>
        <w:t>在某金交</w:t>
      </w:r>
      <w:proofErr w:type="gramEnd"/>
      <w:r w:rsidRPr="0058615A">
        <w:rPr>
          <w:rFonts w:ascii="宋体" w:eastAsia="宋体" w:hAnsi="宋体"/>
          <w:b/>
          <w:bCs/>
          <w:szCs w:val="21"/>
        </w:rPr>
        <w:t>所担任高管的人士告诉记者，早在2022年底，有关部门就召集一些地方政府和金交所，就金交所清退的可能性调研收集意见。最近终于尘埃落定，决定将现存金交所全部有序清退关停，而且明确今后各地不再设立。</w:t>
      </w:r>
    </w:p>
    <w:p w14:paraId="194A9594"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据记者不完全统计，在上述四省市发公告之前，全国有近30家金交所。而部分地方关停金交所的动作，早在3月25日公告发布之前就已展开。根据工商信息查询，吉林东北亚创新金融资产交易中心于2023年9月已更名退出，南宁金融资产交易中心于2023年11月已更名退出，两者都不再具备金交所资质。而上述西安百金金交中心，则于2023年12月22日就已完成注销。</w:t>
      </w:r>
    </w:p>
    <w:p w14:paraId="5D590982"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需要注意的是，根据记者多方了解到的情况来看，由于各地方及各金交</w:t>
      </w:r>
      <w:proofErr w:type="gramStart"/>
      <w:r w:rsidRPr="0058615A">
        <w:rPr>
          <w:rFonts w:ascii="宋体" w:eastAsia="宋体" w:hAnsi="宋体"/>
          <w:b/>
          <w:bCs/>
          <w:szCs w:val="21"/>
        </w:rPr>
        <w:t>所情况</w:t>
      </w:r>
      <w:proofErr w:type="gramEnd"/>
      <w:r w:rsidRPr="0058615A">
        <w:rPr>
          <w:rFonts w:ascii="宋体" w:eastAsia="宋体" w:hAnsi="宋体"/>
          <w:b/>
          <w:bCs/>
          <w:szCs w:val="21"/>
        </w:rPr>
        <w:t>各有不同，各地关停金交所的节奏也并不一致。此次全部关停金交所，并非是一夜之间所有金交所不复存在了，而是在较长一段时间内各地根据实际情况渐次有序退出，这也是监管层的要求。</w:t>
      </w:r>
    </w:p>
    <w:p w14:paraId="3BCEA9A7"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过去一些金交所多年来累积下了少量存量风险业务，至今还未完全解决。据一位接近监管的人士向记者透露，这类仍有存量业务未完全化解的金交所，当地政府已经做好安排，要求其做好同投资人和融资方之间的沟通，在法律框架下协商解决，稳妥有序化解存量。即便是已经或即将被取消资质的金交所，只要仍有存量业务未化解，就不能简单注销，仍要以民事主体身份继续处理各项事宜。</w:t>
      </w:r>
    </w:p>
    <w:p w14:paraId="024F34F4"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总之，对于此次关停金交所，监管层及各地政府在幕后已筹备多时，</w:t>
      </w:r>
      <w:proofErr w:type="gramStart"/>
      <w:r w:rsidRPr="0058615A">
        <w:rPr>
          <w:rFonts w:ascii="宋体" w:eastAsia="宋体" w:hAnsi="宋体"/>
          <w:b/>
          <w:bCs/>
          <w:szCs w:val="21"/>
        </w:rPr>
        <w:t>考量</w:t>
      </w:r>
      <w:proofErr w:type="gramEnd"/>
      <w:r w:rsidRPr="0058615A">
        <w:rPr>
          <w:rFonts w:ascii="宋体" w:eastAsia="宋体" w:hAnsi="宋体"/>
          <w:b/>
          <w:bCs/>
          <w:szCs w:val="21"/>
        </w:rPr>
        <w:t>了各方面的诉求和利益，力求“稳妥”。因此，投资人倒也不必过分担心。</w:t>
      </w:r>
    </w:p>
    <w:p w14:paraId="33AF1A7B"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针对“伪金交所”，四地在公告中也都表示存在着较大的金融风险隐患，并强调各市场主体不得再以任何形式和名义，直接或间接为各</w:t>
      </w:r>
      <w:proofErr w:type="gramStart"/>
      <w:r w:rsidRPr="0058615A">
        <w:rPr>
          <w:rFonts w:ascii="宋体" w:eastAsia="宋体" w:hAnsi="宋体"/>
          <w:b/>
          <w:bCs/>
          <w:szCs w:val="21"/>
        </w:rPr>
        <w:t>类发行</w:t>
      </w:r>
      <w:proofErr w:type="gramEnd"/>
      <w:r w:rsidRPr="0058615A">
        <w:rPr>
          <w:rFonts w:ascii="宋体" w:eastAsia="宋体" w:hAnsi="宋体"/>
          <w:b/>
          <w:bCs/>
          <w:szCs w:val="21"/>
        </w:rPr>
        <w:t>和销售非标债务融资产品提供服务和便利。</w:t>
      </w:r>
    </w:p>
    <w:p w14:paraId="5F97B01C"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2021年9月，证券时报独家调查揭露了打着金交所旗号，为各类面向公众的违规理财产品提供融资通道的“伪金交所”的存在，引起监管部门高度重视。监管层针对“伪金交所”乱象指挥各地开展了专项整治活动，持续至今，取得明显效果。</w:t>
      </w:r>
    </w:p>
    <w:p w14:paraId="594C0154"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据记者了解，专项整治活动以来，各地对百余家认定为“伪金交所”的公司进行了整治清理，很多公司或被注销或更名。目前，地方省市县三级已经明确了涉“伪金交所”主体的</w:t>
      </w:r>
      <w:r w:rsidRPr="0058615A">
        <w:rPr>
          <w:rFonts w:ascii="宋体" w:eastAsia="宋体" w:hAnsi="宋体"/>
          <w:b/>
          <w:bCs/>
          <w:szCs w:val="21"/>
        </w:rPr>
        <w:lastRenderedPageBreak/>
        <w:t>相关范围，杜绝地方政府部门再以各种形式为相关公司批文增信，加强源头监管，将对“伪金交所”及各种变种的清查常态化，有效遏制了“伪金交所”进行的非法金融活动。</w:t>
      </w:r>
    </w:p>
    <w:p w14:paraId="53DBE794"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今后，随着金交所不复存在，依附其上的“伪金交所”更成了无源之水，此前“硬蹭来”的所谓政府背书效应也将一并褪去。社会公众和广大投资人也要对这类公司发行的非法理财产品提高警惕。</w:t>
      </w:r>
    </w:p>
    <w:p w14:paraId="36500078" w14:textId="77777777" w:rsidR="0058615A" w:rsidRPr="0058615A" w:rsidRDefault="0058615A" w:rsidP="0058615A">
      <w:pPr>
        <w:spacing w:beforeLines="50" w:before="156" w:afterLines="50" w:after="156" w:line="360" w:lineRule="exact"/>
        <w:jc w:val="center"/>
        <w:rPr>
          <w:rFonts w:ascii="华文中宋" w:eastAsia="华文中宋" w:hAnsi="华文中宋"/>
          <w:b/>
          <w:bCs/>
          <w:sz w:val="28"/>
          <w:szCs w:val="28"/>
        </w:rPr>
      </w:pPr>
      <w:r w:rsidRPr="0058615A">
        <w:rPr>
          <w:rFonts w:ascii="华文中宋" w:eastAsia="华文中宋" w:hAnsi="华文中宋"/>
          <w:b/>
          <w:bCs/>
          <w:sz w:val="28"/>
          <w:szCs w:val="28"/>
        </w:rPr>
        <w:t>价值何在</w:t>
      </w:r>
    </w:p>
    <w:p w14:paraId="362EBE0E"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2010年5月，我国第</w:t>
      </w:r>
      <w:proofErr w:type="gramStart"/>
      <w:r w:rsidRPr="0058615A">
        <w:rPr>
          <w:rFonts w:ascii="宋体" w:eastAsia="宋体" w:hAnsi="宋体"/>
          <w:b/>
          <w:bCs/>
          <w:szCs w:val="21"/>
        </w:rPr>
        <w:t>一家金</w:t>
      </w:r>
      <w:proofErr w:type="gramEnd"/>
      <w:r w:rsidRPr="0058615A">
        <w:rPr>
          <w:rFonts w:ascii="宋体" w:eastAsia="宋体" w:hAnsi="宋体"/>
          <w:b/>
          <w:bCs/>
          <w:szCs w:val="21"/>
        </w:rPr>
        <w:t>交所（天津金融资产交易所）成立。其后，各地设立了一批金交所。期间大起大落，直至今日迎来全部关停的终局。</w:t>
      </w:r>
    </w:p>
    <w:p w14:paraId="3A3DFD59"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何以至此？一言以蔽之：金交所出现以来，在产生巨大危害的同时，却极少创造有益价值。</w:t>
      </w:r>
    </w:p>
    <w:p w14:paraId="772D0623"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一切都要从金交所的定位（金融资产交易平台）和属性（早期金交所发起方多为国企，须经省级政府批准方可设立）说起。</w:t>
      </w:r>
    </w:p>
    <w:p w14:paraId="15515F82"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金融资产交易平台的定位，加上地方政府的隐性信用背书，让金交所成了各方都想拥有、利用的优质稀缺资源。很多金融市场落后、金融资源欠缺的省份大开绿灯，批准设立了多家金交所，如贵州一省最多时就有六七家金交所。之后，民营资本包括P2P公司等也将手伸了过来，设立或控制了多家金交所，如明天系曾控制天安金交中心，雪松系曾控制大连金交所。巅峰时国内金交</w:t>
      </w:r>
      <w:proofErr w:type="gramStart"/>
      <w:r w:rsidRPr="0058615A">
        <w:rPr>
          <w:rFonts w:ascii="宋体" w:eastAsia="宋体" w:hAnsi="宋体"/>
          <w:b/>
          <w:bCs/>
          <w:szCs w:val="21"/>
        </w:rPr>
        <w:t>所数量</w:t>
      </w:r>
      <w:proofErr w:type="gramEnd"/>
      <w:r w:rsidRPr="0058615A">
        <w:rPr>
          <w:rFonts w:ascii="宋体" w:eastAsia="宋体" w:hAnsi="宋体"/>
          <w:b/>
          <w:bCs/>
          <w:szCs w:val="21"/>
        </w:rPr>
        <w:t>一度接近80家。</w:t>
      </w:r>
    </w:p>
    <w:p w14:paraId="6DC9BC31"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如今回看，金交所的兴起和衰落与</w:t>
      </w:r>
      <w:proofErr w:type="gramStart"/>
      <w:r w:rsidRPr="0058615A">
        <w:rPr>
          <w:rFonts w:ascii="宋体" w:eastAsia="宋体" w:hAnsi="宋体"/>
          <w:b/>
          <w:bCs/>
          <w:szCs w:val="21"/>
        </w:rPr>
        <w:t>中国资管行业</w:t>
      </w:r>
      <w:proofErr w:type="gramEnd"/>
      <w:r w:rsidRPr="0058615A">
        <w:rPr>
          <w:rFonts w:ascii="宋体" w:eastAsia="宋体" w:hAnsi="宋体"/>
          <w:b/>
          <w:bCs/>
          <w:szCs w:val="21"/>
        </w:rPr>
        <w:t>的发展紧密相关。尤其随着当年私募理财、P2P的兴起，需要扩展业务范围赚钱的金交所和需要官方平台为产品背书的理财公司、P2P走到了一起。很快，金交所就成为非标理财市场上重要的交易平台和融资通道。期间不少金交所甚至自己下场发行理财产品，帮助背后的股东自融。之后，地产公司、三方财富管理公司、地方城投等非标市场上主要的几类融资主体，也把金交所作为融资增信手段，面向公众发行成百上千亿元的非法理财产品。</w:t>
      </w:r>
    </w:p>
    <w:p w14:paraId="6F4585F4"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随着通过金交所增信的各类理财产品越来越多，融资方、销售端和投资人等对这些产品有了统一的称呼——金交所产品。通常，金交所产品投资门槛在数十万到数百万间，</w:t>
      </w:r>
      <w:proofErr w:type="gramStart"/>
      <w:r w:rsidRPr="0058615A">
        <w:rPr>
          <w:rFonts w:ascii="宋体" w:eastAsia="宋体" w:hAnsi="宋体"/>
          <w:b/>
          <w:bCs/>
          <w:szCs w:val="21"/>
        </w:rPr>
        <w:t>年化固定</w:t>
      </w:r>
      <w:proofErr w:type="gramEnd"/>
      <w:r w:rsidRPr="0058615A">
        <w:rPr>
          <w:rFonts w:ascii="宋体" w:eastAsia="宋体" w:hAnsi="宋体"/>
          <w:b/>
          <w:bCs/>
          <w:szCs w:val="21"/>
        </w:rPr>
        <w:t>收益畸高（大概7%~12%间），许多涉嫌自融，且理财销售向投资人推介时会额外</w:t>
      </w:r>
      <w:proofErr w:type="gramStart"/>
      <w:r w:rsidRPr="0058615A">
        <w:rPr>
          <w:rFonts w:ascii="宋体" w:eastAsia="宋体" w:hAnsi="宋体"/>
          <w:b/>
          <w:bCs/>
          <w:szCs w:val="21"/>
        </w:rPr>
        <w:t>强调金</w:t>
      </w:r>
      <w:proofErr w:type="gramEnd"/>
      <w:r w:rsidRPr="0058615A">
        <w:rPr>
          <w:rFonts w:ascii="宋体" w:eastAsia="宋体" w:hAnsi="宋体"/>
          <w:b/>
          <w:bCs/>
          <w:szCs w:val="21"/>
        </w:rPr>
        <w:t>交所隐含的政府信用背书。在当时很多销售的嘴里和投资人的眼里，金交所产品甚至成了能稳赚不赔的“信仰”。</w:t>
      </w:r>
    </w:p>
    <w:p w14:paraId="5930E00B"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直到“大厦”崩塌。</w:t>
      </w:r>
    </w:p>
    <w:p w14:paraId="430FF052"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过往多年，</w:t>
      </w:r>
      <w:proofErr w:type="gramStart"/>
      <w:r w:rsidRPr="0058615A">
        <w:rPr>
          <w:rFonts w:ascii="宋体" w:eastAsia="宋体" w:hAnsi="宋体"/>
          <w:b/>
          <w:bCs/>
          <w:szCs w:val="21"/>
        </w:rPr>
        <w:t>不少爆雷的</w:t>
      </w:r>
      <w:proofErr w:type="gramEnd"/>
      <w:r w:rsidRPr="0058615A">
        <w:rPr>
          <w:rFonts w:ascii="宋体" w:eastAsia="宋体" w:hAnsi="宋体"/>
          <w:b/>
          <w:bCs/>
          <w:szCs w:val="21"/>
        </w:rPr>
        <w:t>地产公司、大型企业集团、第三方财富管理公司等各类融资主体通过金交所“增信”的产品规模巨大。冒充、</w:t>
      </w:r>
      <w:proofErr w:type="gramStart"/>
      <w:r w:rsidRPr="0058615A">
        <w:rPr>
          <w:rFonts w:ascii="宋体" w:eastAsia="宋体" w:hAnsi="宋体"/>
          <w:b/>
          <w:bCs/>
          <w:szCs w:val="21"/>
        </w:rPr>
        <w:t>模仿金</w:t>
      </w:r>
      <w:proofErr w:type="gramEnd"/>
      <w:r w:rsidRPr="0058615A">
        <w:rPr>
          <w:rFonts w:ascii="宋体" w:eastAsia="宋体" w:hAnsi="宋体"/>
          <w:b/>
          <w:bCs/>
          <w:szCs w:val="21"/>
        </w:rPr>
        <w:t>交所的那些“伪金交所”参与的非法融资产品规模更甚。相关公司</w:t>
      </w:r>
      <w:proofErr w:type="gramStart"/>
      <w:r w:rsidRPr="0058615A">
        <w:rPr>
          <w:rFonts w:ascii="宋体" w:eastAsia="宋体" w:hAnsi="宋体"/>
          <w:b/>
          <w:bCs/>
          <w:szCs w:val="21"/>
        </w:rPr>
        <w:t>爆</w:t>
      </w:r>
      <w:proofErr w:type="gramEnd"/>
      <w:r w:rsidRPr="0058615A">
        <w:rPr>
          <w:rFonts w:ascii="宋体" w:eastAsia="宋体" w:hAnsi="宋体"/>
          <w:b/>
          <w:bCs/>
          <w:szCs w:val="21"/>
        </w:rPr>
        <w:t>雷后，严重侵害了社会公众的利益，极大扰乱了金融市场秩序，造成了巨大的社会危害与风险，有些至今仍未得到妥善处置，恶劣影响难以平息。</w:t>
      </w:r>
    </w:p>
    <w:p w14:paraId="558349F6" w14:textId="77777777" w:rsidR="0058615A" w:rsidRPr="0058615A" w:rsidRDefault="0058615A" w:rsidP="0058615A">
      <w:pPr>
        <w:spacing w:beforeLines="50" w:before="156" w:afterLines="50" w:after="156" w:line="360" w:lineRule="exact"/>
        <w:jc w:val="center"/>
        <w:rPr>
          <w:rFonts w:ascii="华文中宋" w:eastAsia="华文中宋" w:hAnsi="华文中宋"/>
          <w:b/>
          <w:bCs/>
          <w:sz w:val="28"/>
          <w:szCs w:val="28"/>
        </w:rPr>
      </w:pPr>
      <w:r w:rsidRPr="0058615A">
        <w:rPr>
          <w:rFonts w:ascii="华文中宋" w:eastAsia="华文中宋" w:hAnsi="华文中宋"/>
          <w:b/>
          <w:bCs/>
          <w:sz w:val="28"/>
          <w:szCs w:val="28"/>
        </w:rPr>
        <w:t>“猫鼠游戏”</w:t>
      </w:r>
    </w:p>
    <w:p w14:paraId="28B949D8"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lastRenderedPageBreak/>
        <w:t>在早期部分风险事件出现后，监管部门就已关注到金交所在其中扮演的角色并开始介入。</w:t>
      </w:r>
    </w:p>
    <w:p w14:paraId="6752B763"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2020年是重要的转折点，当年及之后，有关部门督促各地连续开展了金交所专项整治、产权交易场所违规金融活动整治、“伪金交所”专项整治等一系列整治活动，不断</w:t>
      </w:r>
      <w:proofErr w:type="gramStart"/>
      <w:r w:rsidRPr="0058615A">
        <w:rPr>
          <w:rFonts w:ascii="宋体" w:eastAsia="宋体" w:hAnsi="宋体"/>
          <w:b/>
          <w:bCs/>
          <w:szCs w:val="21"/>
        </w:rPr>
        <w:t>压缩金</w:t>
      </w:r>
      <w:proofErr w:type="gramEnd"/>
      <w:r w:rsidRPr="0058615A">
        <w:rPr>
          <w:rFonts w:ascii="宋体" w:eastAsia="宋体" w:hAnsi="宋体"/>
          <w:b/>
          <w:bCs/>
          <w:szCs w:val="21"/>
        </w:rPr>
        <w:t>交所数量，严禁金交所面向个人销售产品、跨区域展业等行为，</w:t>
      </w:r>
      <w:proofErr w:type="gramStart"/>
      <w:r w:rsidRPr="0058615A">
        <w:rPr>
          <w:rFonts w:ascii="宋体" w:eastAsia="宋体" w:hAnsi="宋体"/>
          <w:b/>
          <w:bCs/>
          <w:szCs w:val="21"/>
        </w:rPr>
        <w:t>严控金</w:t>
      </w:r>
      <w:proofErr w:type="gramEnd"/>
      <w:r w:rsidRPr="0058615A">
        <w:rPr>
          <w:rFonts w:ascii="宋体" w:eastAsia="宋体" w:hAnsi="宋体"/>
          <w:b/>
          <w:bCs/>
          <w:szCs w:val="21"/>
        </w:rPr>
        <w:t>交所的增量风险，存量风险显著收敛。</w:t>
      </w:r>
    </w:p>
    <w:p w14:paraId="6B523B96"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但从发展过程看，某些金交所及背后的控制人同</w:t>
      </w:r>
      <w:proofErr w:type="gramStart"/>
      <w:r w:rsidRPr="0058615A">
        <w:rPr>
          <w:rFonts w:ascii="宋体" w:eastAsia="宋体" w:hAnsi="宋体"/>
          <w:b/>
          <w:bCs/>
          <w:szCs w:val="21"/>
        </w:rPr>
        <w:t>监管整治</w:t>
      </w:r>
      <w:proofErr w:type="gramEnd"/>
      <w:r w:rsidRPr="0058615A">
        <w:rPr>
          <w:rFonts w:ascii="宋体" w:eastAsia="宋体" w:hAnsi="宋体"/>
          <w:b/>
          <w:bCs/>
          <w:szCs w:val="21"/>
        </w:rPr>
        <w:t>之间的“猫鼠游戏”始终不断。甚至在不少时候，由于许多客观条件的制约，在这场“游戏”中监管虽不停追打，却防不胜防。</w:t>
      </w:r>
    </w:p>
    <w:p w14:paraId="4CC4D58A"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最明显的例证就是“伪金交所”的出现及后来的一系列变种。</w:t>
      </w:r>
    </w:p>
    <w:p w14:paraId="3640E646"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2020年监管部门对金交所开展了一轮专项整治，有效遏制了当时金交所为各类违规理财产品提供融资通道业务的势头。</w:t>
      </w:r>
    </w:p>
    <w:p w14:paraId="72CEEEC8"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但按下葫芦浮起瓢，眼看金交所业务受限，或脱胎于金交所的团队，或常年从事金交所业务的市场中介，敏锐地抓住了以中西部省份经济较落后的区县为主的政府招商引资需求及监管空白，注册成立了许多名字包含“金融资产”、“登记备案”等关键词的公司，甚至还拿到了地方政府部门（多以区县金融办为主）允许开展类金融业务的批文，它们便继续打着金交所的旗号，为有庞大需求的非标理财市场提供融资通道。</w:t>
      </w:r>
    </w:p>
    <w:p w14:paraId="07AB6951"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通过这些公司备案的理财产品，在</w:t>
      </w:r>
      <w:proofErr w:type="gramStart"/>
      <w:r w:rsidRPr="0058615A">
        <w:rPr>
          <w:rFonts w:ascii="宋体" w:eastAsia="宋体" w:hAnsi="宋体"/>
          <w:b/>
          <w:bCs/>
          <w:szCs w:val="21"/>
        </w:rPr>
        <w:t>销售端仍被</w:t>
      </w:r>
      <w:proofErr w:type="gramEnd"/>
      <w:r w:rsidRPr="0058615A">
        <w:rPr>
          <w:rFonts w:ascii="宋体" w:eastAsia="宋体" w:hAnsi="宋体"/>
          <w:b/>
          <w:bCs/>
          <w:szCs w:val="21"/>
        </w:rPr>
        <w:t>称为“金交所产品”，借此来冒充所谓的政府信用背书。而此时虽然监管部门已严禁金交所再从事相关业务，但经过长期的培养，金交所形成的强大惯性仍被市场各方信任、依赖。简单说就是，投资人依然买单，并不会真正关注所买的产品是在哪里备的案。</w:t>
      </w:r>
    </w:p>
    <w:p w14:paraId="55F4093D"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2021年9月，证券时报记者独家调查揭露了登记备案公司的存在，并将它们称为“伪金交所”（详见证券时报此前报道《起底“伪金交所”》）。报道刊发后引起监管部门高度重视。很快，有关部门就在全国范围内开启了针对“伪金交所”的专项整治行动。</w:t>
      </w:r>
    </w:p>
    <w:p w14:paraId="0E134793"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可以说，监管部门针对“伪金交所”的专项整治是成功的。报道中列出的70余家公司在短时间内相继被清整，各地也严控与“伪金交所”特征相仿的公司设立。</w:t>
      </w:r>
    </w:p>
    <w:p w14:paraId="14AD80C9"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在更早前“伪金交所”还未被正式曝光时，证券时报记者采访的一位“伪金交所”负责人就预言，即使监管将现有的“伪金交所”一网打尽，只要市场需求一直存在，就会有其他形式的融资通道涌现出来。</w:t>
      </w:r>
    </w:p>
    <w:p w14:paraId="5F326334"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果不其然，在“伪金交所”开展专项整治行动的同时，新一批挂有“产登信息”或“产权交易”的公司开始不断注册，成了“伪金交所”的新变种，继续给包括三方财富公司、地方城投在内的各融资主体做产品备案。因为有关部门严令各地不得为“伪金交所”出具批文，这些公司再也拿不到、也不再寻求此前地方政府部门的授权批文，蒙头继续干着见不得光的地下通道生意（详见证券时报此前报道《“伪金交所”现新变种》）。</w:t>
      </w:r>
    </w:p>
    <w:p w14:paraId="2B14A6F8"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证券时报的相关报道在2023年7月刊发后，监管部门针对出现的“伪金交所”新变种公</w:t>
      </w:r>
      <w:r w:rsidRPr="0058615A">
        <w:rPr>
          <w:rFonts w:ascii="宋体" w:eastAsia="宋体" w:hAnsi="宋体"/>
          <w:b/>
          <w:bCs/>
          <w:szCs w:val="21"/>
        </w:rPr>
        <w:lastRenderedPageBreak/>
        <w:t>司，在全国范围内又展开了新一轮的专项整治行动。据记者了解，截至目前有近50家公司已被清理，其中不少公司刚刚完成注册还未实际开展业务，提前遏制了新一批“伪金交所”大面积扩散的风险。</w:t>
      </w:r>
    </w:p>
    <w:p w14:paraId="52565335"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至此，监管部门在过去两年连续出拳，坚决清理。可以说，专项整治行动中取得了显著的成效。但不难预料的是，只要市场投融资两端的“需求”仍大量存在，“猫鼠游戏”可能仍难结束。</w:t>
      </w:r>
    </w:p>
    <w:p w14:paraId="54C2ED4C"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如今整体关停金交所的雷霆手段，不仅是对金交所乱象的彻底终结，也是对当前仍在从事类似通道业务的各种“伪金交所”及其新变种，甚至其他违规地方交易场所发出的最强烈监管信号。</w:t>
      </w:r>
    </w:p>
    <w:p w14:paraId="55165CAB" w14:textId="77777777" w:rsidR="0058615A" w:rsidRPr="0058615A" w:rsidRDefault="0058615A" w:rsidP="0058615A">
      <w:pPr>
        <w:spacing w:beforeLines="50" w:before="156" w:afterLines="50" w:after="156" w:line="360" w:lineRule="exact"/>
        <w:jc w:val="center"/>
        <w:rPr>
          <w:rFonts w:ascii="华文中宋" w:eastAsia="华文中宋" w:hAnsi="华文中宋"/>
          <w:b/>
          <w:bCs/>
          <w:sz w:val="28"/>
          <w:szCs w:val="28"/>
        </w:rPr>
      </w:pPr>
      <w:r w:rsidRPr="0058615A">
        <w:rPr>
          <w:rFonts w:ascii="华文中宋" w:eastAsia="华文中宋" w:hAnsi="华文中宋"/>
          <w:b/>
          <w:bCs/>
          <w:sz w:val="28"/>
          <w:szCs w:val="28"/>
        </w:rPr>
        <w:t>定位困局</w:t>
      </w:r>
    </w:p>
    <w:p w14:paraId="55EDE0B7"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记者近期在与多位金交</w:t>
      </w:r>
      <w:proofErr w:type="gramStart"/>
      <w:r w:rsidRPr="0058615A">
        <w:rPr>
          <w:rFonts w:ascii="宋体" w:eastAsia="宋体" w:hAnsi="宋体"/>
          <w:b/>
          <w:bCs/>
          <w:szCs w:val="21"/>
        </w:rPr>
        <w:t>所相关</w:t>
      </w:r>
      <w:proofErr w:type="gramEnd"/>
      <w:r w:rsidRPr="0058615A">
        <w:rPr>
          <w:rFonts w:ascii="宋体" w:eastAsia="宋体" w:hAnsi="宋体"/>
          <w:b/>
          <w:bCs/>
          <w:szCs w:val="21"/>
        </w:rPr>
        <w:t>人士交流时发现，尽管金交所在过去存续的时间里作为各种违规理财工具，在非法融资活动中“为虎作伥”，且通过变换各种形式不断试图规避监管，仍有许多业内人士抱有一个疑问：对金交所的处置，就只能是一关了之吗？</w:t>
      </w:r>
    </w:p>
    <w:p w14:paraId="21D2A918"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这个问题确实值得探讨。纵观过往诸多引发严重社会风险的金融乱象，如P2P、现金贷、</w:t>
      </w:r>
      <w:proofErr w:type="gramStart"/>
      <w:r w:rsidRPr="0058615A">
        <w:rPr>
          <w:rFonts w:ascii="宋体" w:eastAsia="宋体" w:hAnsi="宋体"/>
          <w:b/>
          <w:bCs/>
          <w:szCs w:val="21"/>
        </w:rPr>
        <w:t>币圈</w:t>
      </w:r>
      <w:proofErr w:type="gramEnd"/>
      <w:r w:rsidRPr="0058615A">
        <w:rPr>
          <w:rFonts w:ascii="宋体" w:eastAsia="宋体" w:hAnsi="宋体"/>
          <w:b/>
          <w:bCs/>
          <w:szCs w:val="21"/>
        </w:rPr>
        <w:t>ICO等等，监管部门最终都采取了被外界称为“一刀切”的措施。此次关停金交所，是否又是监管在惯性思维中采取的极端措施呢？</w:t>
      </w:r>
    </w:p>
    <w:p w14:paraId="29ADC4AD"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记者通过梳理现有金交所的经营状况，回溯金交所最初的功能定位，得出的答案应该是否定的。</w:t>
      </w:r>
    </w:p>
    <w:p w14:paraId="0A5EFB37"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众所周知，不少金交所都自称，其设立是基于2009年财政部发布的《金融企业国有资产转让管理办法》，为金融企业国有资产交易专门设立的交易场所。但外界并不清楚的是，实际运行中，金交所必须还要取得财政部门专门授予的相关资质，才可开展金融企业国有资产交易业务。熟悉这一情况的某地方监管人士告诉记者，目前国内金交所中只有极个别拿到了这一资质，绝大多数的金交所都无资质可开展这类业务的资质。不少地方将这一资质授予了当地</w:t>
      </w:r>
      <w:proofErr w:type="gramStart"/>
      <w:r w:rsidRPr="0058615A">
        <w:rPr>
          <w:rFonts w:ascii="宋体" w:eastAsia="宋体" w:hAnsi="宋体"/>
          <w:b/>
          <w:bCs/>
          <w:szCs w:val="21"/>
        </w:rPr>
        <w:t>的产交所</w:t>
      </w:r>
      <w:proofErr w:type="gramEnd"/>
      <w:r w:rsidRPr="0058615A">
        <w:rPr>
          <w:rFonts w:ascii="宋体" w:eastAsia="宋体" w:hAnsi="宋体"/>
          <w:b/>
          <w:bCs/>
          <w:szCs w:val="21"/>
        </w:rPr>
        <w:t>，而非金交所。</w:t>
      </w:r>
    </w:p>
    <w:p w14:paraId="78D822B3"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换句话说，大多数金交所从成立至今，都从未开展过最初定位的金融企业国有资产交易业务。</w:t>
      </w:r>
    </w:p>
    <w:p w14:paraId="16B8364C"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在此情况下，不良资产交易成了金交所为数不多可合</w:t>
      </w:r>
      <w:proofErr w:type="gramStart"/>
      <w:r w:rsidRPr="0058615A">
        <w:rPr>
          <w:rFonts w:ascii="宋体" w:eastAsia="宋体" w:hAnsi="宋体"/>
          <w:b/>
          <w:bCs/>
          <w:szCs w:val="21"/>
        </w:rPr>
        <w:t>规</w:t>
      </w:r>
      <w:proofErr w:type="gramEnd"/>
      <w:r w:rsidRPr="0058615A">
        <w:rPr>
          <w:rFonts w:ascii="宋体" w:eastAsia="宋体" w:hAnsi="宋体"/>
          <w:b/>
          <w:bCs/>
          <w:szCs w:val="21"/>
        </w:rPr>
        <w:t>开展的业务。但实际运营情况是，大多开展不良资产业务的金交所普遍经营惨淡，规模很小，带不来多少收入，更无法支撑金交所的日常运行。而且，不良资产的转让交易并非需要强制入场的业务，金交所在这块业务上也不具有专属性，</w:t>
      </w:r>
      <w:proofErr w:type="gramStart"/>
      <w:r w:rsidRPr="0058615A">
        <w:rPr>
          <w:rFonts w:ascii="宋体" w:eastAsia="宋体" w:hAnsi="宋体"/>
          <w:b/>
          <w:bCs/>
          <w:szCs w:val="21"/>
        </w:rPr>
        <w:t>产交所</w:t>
      </w:r>
      <w:proofErr w:type="gramEnd"/>
      <w:r w:rsidRPr="0058615A">
        <w:rPr>
          <w:rFonts w:ascii="宋体" w:eastAsia="宋体" w:hAnsi="宋体"/>
          <w:b/>
          <w:bCs/>
          <w:szCs w:val="21"/>
        </w:rPr>
        <w:t>可以做，司法拍卖可以做，阿里等互联网公司更是做得风生水起。相比之下，金交所在业务来源方面也是这几类平台中最弱的。</w:t>
      </w:r>
    </w:p>
    <w:p w14:paraId="3407D275"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证券时报记者通过对20余家现存金交</w:t>
      </w:r>
      <w:proofErr w:type="gramStart"/>
      <w:r w:rsidRPr="0058615A">
        <w:rPr>
          <w:rFonts w:ascii="宋体" w:eastAsia="宋体" w:hAnsi="宋体"/>
          <w:b/>
          <w:bCs/>
          <w:szCs w:val="21"/>
        </w:rPr>
        <w:t>所官网信息</w:t>
      </w:r>
      <w:proofErr w:type="gramEnd"/>
      <w:r w:rsidRPr="0058615A">
        <w:rPr>
          <w:rFonts w:ascii="宋体" w:eastAsia="宋体" w:hAnsi="宋体"/>
          <w:b/>
          <w:bCs/>
          <w:szCs w:val="21"/>
        </w:rPr>
        <w:t>的梳理，发现有将近一半的金交</w:t>
      </w:r>
      <w:proofErr w:type="gramStart"/>
      <w:r w:rsidRPr="0058615A">
        <w:rPr>
          <w:rFonts w:ascii="宋体" w:eastAsia="宋体" w:hAnsi="宋体"/>
          <w:b/>
          <w:bCs/>
          <w:szCs w:val="21"/>
        </w:rPr>
        <w:t>所官网或</w:t>
      </w:r>
      <w:proofErr w:type="gramEnd"/>
      <w:r w:rsidRPr="0058615A">
        <w:rPr>
          <w:rFonts w:ascii="宋体" w:eastAsia="宋体" w:hAnsi="宋体"/>
          <w:b/>
          <w:bCs/>
          <w:szCs w:val="21"/>
        </w:rPr>
        <w:t>打不开，或信息更新停滞（如青岛国富金融资产交易中心动态更新停留在2021年1月），且都未公开展示不良资产业务的相关信息。另外10余家在</w:t>
      </w:r>
      <w:proofErr w:type="gramStart"/>
      <w:r w:rsidRPr="0058615A">
        <w:rPr>
          <w:rFonts w:ascii="宋体" w:eastAsia="宋体" w:hAnsi="宋体"/>
          <w:b/>
          <w:bCs/>
          <w:szCs w:val="21"/>
        </w:rPr>
        <w:t>官网展示</w:t>
      </w:r>
      <w:proofErr w:type="gramEnd"/>
      <w:r w:rsidRPr="0058615A">
        <w:rPr>
          <w:rFonts w:ascii="宋体" w:eastAsia="宋体" w:hAnsi="宋体"/>
          <w:b/>
          <w:bCs/>
          <w:szCs w:val="21"/>
        </w:rPr>
        <w:t>了不良资产业务信息</w:t>
      </w:r>
      <w:r w:rsidRPr="0058615A">
        <w:rPr>
          <w:rFonts w:ascii="宋体" w:eastAsia="宋体" w:hAnsi="宋体"/>
          <w:b/>
          <w:bCs/>
          <w:szCs w:val="21"/>
        </w:rPr>
        <w:lastRenderedPageBreak/>
        <w:t>的金交所，有的如大连金融资产交易所，包括不良资产业务在内的债权资产信息发布日期停留在2022年6月，且当年一共仅2笔。黑龙江省金融资产交易中心2023年一共发布了6条不良资产业务公告；山西省金融资产交易中心同年发布4条信息。即使</w:t>
      </w:r>
      <w:proofErr w:type="gramStart"/>
      <w:r w:rsidRPr="0058615A">
        <w:rPr>
          <w:rFonts w:ascii="宋体" w:eastAsia="宋体" w:hAnsi="宋体"/>
          <w:b/>
          <w:bCs/>
          <w:szCs w:val="21"/>
        </w:rPr>
        <w:t>不良业务</w:t>
      </w:r>
      <w:proofErr w:type="gramEnd"/>
      <w:r w:rsidRPr="0058615A">
        <w:rPr>
          <w:rFonts w:ascii="宋体" w:eastAsia="宋体" w:hAnsi="宋体"/>
          <w:b/>
          <w:bCs/>
          <w:szCs w:val="21"/>
        </w:rPr>
        <w:t>开展相对较活跃的几家金交所，以2023年发布信息数看，也只有数十笔至百余笔。</w:t>
      </w:r>
    </w:p>
    <w:p w14:paraId="2B21ABF8"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一位</w:t>
      </w:r>
      <w:proofErr w:type="gramStart"/>
      <w:r w:rsidRPr="0058615A">
        <w:rPr>
          <w:rFonts w:ascii="宋体" w:eastAsia="宋体" w:hAnsi="宋体"/>
          <w:b/>
          <w:bCs/>
          <w:szCs w:val="21"/>
        </w:rPr>
        <w:t>在某金交</w:t>
      </w:r>
      <w:proofErr w:type="gramEnd"/>
      <w:r w:rsidRPr="0058615A">
        <w:rPr>
          <w:rFonts w:ascii="宋体" w:eastAsia="宋体" w:hAnsi="宋体"/>
          <w:b/>
          <w:bCs/>
          <w:szCs w:val="21"/>
        </w:rPr>
        <w:t>所任职多年的业内人士告诉记者，仅做合</w:t>
      </w:r>
      <w:proofErr w:type="gramStart"/>
      <w:r w:rsidRPr="0058615A">
        <w:rPr>
          <w:rFonts w:ascii="宋体" w:eastAsia="宋体" w:hAnsi="宋体"/>
          <w:b/>
          <w:bCs/>
          <w:szCs w:val="21"/>
        </w:rPr>
        <w:t>规</w:t>
      </w:r>
      <w:proofErr w:type="gramEnd"/>
      <w:r w:rsidRPr="0058615A">
        <w:rPr>
          <w:rFonts w:ascii="宋体" w:eastAsia="宋体" w:hAnsi="宋体"/>
          <w:b/>
          <w:bCs/>
          <w:szCs w:val="21"/>
        </w:rPr>
        <w:t>业务，恐怕</w:t>
      </w:r>
      <w:proofErr w:type="gramStart"/>
      <w:r w:rsidRPr="0058615A">
        <w:rPr>
          <w:rFonts w:ascii="宋体" w:eastAsia="宋体" w:hAnsi="宋体"/>
          <w:b/>
          <w:bCs/>
          <w:szCs w:val="21"/>
        </w:rPr>
        <w:t>连人员</w:t>
      </w:r>
      <w:proofErr w:type="gramEnd"/>
      <w:r w:rsidRPr="0058615A">
        <w:rPr>
          <w:rFonts w:ascii="宋体" w:eastAsia="宋体" w:hAnsi="宋体"/>
          <w:b/>
          <w:bCs/>
          <w:szCs w:val="21"/>
        </w:rPr>
        <w:t>的工资都发不出来。不少金交所在决定关停之前，就已名存实亡。</w:t>
      </w:r>
    </w:p>
    <w:p w14:paraId="45CF1E4A"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金融企业国有资产交易业务无权开展，不良资产业务聊胜于无，金交所能做的只剩下“毫无技术含量，但来钱很快的”摘挂牌业务了。无论是为了扩大收入维持平台运营，还是</w:t>
      </w:r>
      <w:proofErr w:type="gramStart"/>
      <w:r w:rsidRPr="0058615A">
        <w:rPr>
          <w:rFonts w:ascii="宋体" w:eastAsia="宋体" w:hAnsi="宋体"/>
          <w:b/>
          <w:bCs/>
          <w:szCs w:val="21"/>
        </w:rPr>
        <w:t>背后实控人</w:t>
      </w:r>
      <w:proofErr w:type="gramEnd"/>
      <w:r w:rsidRPr="0058615A">
        <w:rPr>
          <w:rFonts w:ascii="宋体" w:eastAsia="宋体" w:hAnsi="宋体"/>
          <w:b/>
          <w:bCs/>
          <w:szCs w:val="21"/>
        </w:rPr>
        <w:t>从一开始就将金交所视为融资通道，</w:t>
      </w:r>
      <w:proofErr w:type="gramStart"/>
      <w:r w:rsidRPr="0058615A">
        <w:rPr>
          <w:rFonts w:ascii="宋体" w:eastAsia="宋体" w:hAnsi="宋体"/>
          <w:b/>
          <w:bCs/>
          <w:szCs w:val="21"/>
        </w:rPr>
        <w:t>从摘挂牌</w:t>
      </w:r>
      <w:proofErr w:type="gramEnd"/>
      <w:r w:rsidRPr="0058615A">
        <w:rPr>
          <w:rFonts w:ascii="宋体" w:eastAsia="宋体" w:hAnsi="宋体"/>
          <w:b/>
          <w:bCs/>
          <w:szCs w:val="21"/>
        </w:rPr>
        <w:t>业务开始，金交所不断扩展业务边界和产品类型，变成了助</w:t>
      </w:r>
      <w:proofErr w:type="gramStart"/>
      <w:r w:rsidRPr="0058615A">
        <w:rPr>
          <w:rFonts w:ascii="宋体" w:eastAsia="宋体" w:hAnsi="宋体"/>
          <w:b/>
          <w:bCs/>
          <w:szCs w:val="21"/>
        </w:rPr>
        <w:t>推各种</w:t>
      </w:r>
      <w:proofErr w:type="gramEnd"/>
      <w:r w:rsidRPr="0058615A">
        <w:rPr>
          <w:rFonts w:ascii="宋体" w:eastAsia="宋体" w:hAnsi="宋体"/>
          <w:b/>
          <w:bCs/>
          <w:szCs w:val="21"/>
        </w:rPr>
        <w:t>金融风险不断膨胀的重要一环。</w:t>
      </w:r>
    </w:p>
    <w:p w14:paraId="35C9C484"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同时，如上所述，金交所现有可开展的合</w:t>
      </w:r>
      <w:proofErr w:type="gramStart"/>
      <w:r w:rsidRPr="0058615A">
        <w:rPr>
          <w:rFonts w:ascii="宋体" w:eastAsia="宋体" w:hAnsi="宋体"/>
          <w:b/>
          <w:bCs/>
          <w:szCs w:val="21"/>
        </w:rPr>
        <w:t>规</w:t>
      </w:r>
      <w:proofErr w:type="gramEnd"/>
      <w:r w:rsidRPr="0058615A">
        <w:rPr>
          <w:rFonts w:ascii="宋体" w:eastAsia="宋体" w:hAnsi="宋体"/>
          <w:b/>
          <w:bCs/>
          <w:szCs w:val="21"/>
        </w:rPr>
        <w:t>业务，</w:t>
      </w:r>
      <w:proofErr w:type="gramStart"/>
      <w:r w:rsidRPr="0058615A">
        <w:rPr>
          <w:rFonts w:ascii="宋体" w:eastAsia="宋体" w:hAnsi="宋体"/>
          <w:b/>
          <w:bCs/>
          <w:szCs w:val="21"/>
        </w:rPr>
        <w:t>产交所</w:t>
      </w:r>
      <w:proofErr w:type="gramEnd"/>
      <w:r w:rsidRPr="0058615A">
        <w:rPr>
          <w:rFonts w:ascii="宋体" w:eastAsia="宋体" w:hAnsi="宋体"/>
          <w:b/>
          <w:bCs/>
          <w:szCs w:val="21"/>
        </w:rPr>
        <w:t>都可开展。且国内目前现有的</w:t>
      </w:r>
      <w:proofErr w:type="gramStart"/>
      <w:r w:rsidRPr="0058615A">
        <w:rPr>
          <w:rFonts w:ascii="宋体" w:eastAsia="宋体" w:hAnsi="宋体"/>
          <w:b/>
          <w:bCs/>
          <w:szCs w:val="21"/>
        </w:rPr>
        <w:t>产交所数量</w:t>
      </w:r>
      <w:proofErr w:type="gramEnd"/>
      <w:r w:rsidRPr="0058615A">
        <w:rPr>
          <w:rFonts w:ascii="宋体" w:eastAsia="宋体" w:hAnsi="宋体"/>
          <w:b/>
          <w:bCs/>
          <w:szCs w:val="21"/>
        </w:rPr>
        <w:t>更多，除各</w:t>
      </w:r>
      <w:proofErr w:type="gramStart"/>
      <w:r w:rsidRPr="0058615A">
        <w:rPr>
          <w:rFonts w:ascii="宋体" w:eastAsia="宋体" w:hAnsi="宋体"/>
          <w:b/>
          <w:bCs/>
          <w:szCs w:val="21"/>
        </w:rPr>
        <w:t>省级产交所外</w:t>
      </w:r>
      <w:proofErr w:type="gramEnd"/>
      <w:r w:rsidRPr="0058615A">
        <w:rPr>
          <w:rFonts w:ascii="宋体" w:eastAsia="宋体" w:hAnsi="宋体"/>
          <w:b/>
          <w:bCs/>
          <w:szCs w:val="21"/>
        </w:rPr>
        <w:t>，许多地市乃至县都有自己</w:t>
      </w:r>
      <w:proofErr w:type="gramStart"/>
      <w:r w:rsidRPr="0058615A">
        <w:rPr>
          <w:rFonts w:ascii="宋体" w:eastAsia="宋体" w:hAnsi="宋体"/>
          <w:b/>
          <w:bCs/>
          <w:szCs w:val="21"/>
        </w:rPr>
        <w:t>的产交所</w:t>
      </w:r>
      <w:proofErr w:type="gramEnd"/>
      <w:r w:rsidRPr="0058615A">
        <w:rPr>
          <w:rFonts w:ascii="宋体" w:eastAsia="宋体" w:hAnsi="宋体"/>
          <w:b/>
          <w:bCs/>
          <w:szCs w:val="21"/>
        </w:rPr>
        <w:t>。关停金交</w:t>
      </w:r>
      <w:proofErr w:type="gramStart"/>
      <w:r w:rsidRPr="0058615A">
        <w:rPr>
          <w:rFonts w:ascii="宋体" w:eastAsia="宋体" w:hAnsi="宋体"/>
          <w:b/>
          <w:bCs/>
          <w:szCs w:val="21"/>
        </w:rPr>
        <w:t>所并不</w:t>
      </w:r>
      <w:proofErr w:type="gramEnd"/>
      <w:r w:rsidRPr="0058615A">
        <w:rPr>
          <w:rFonts w:ascii="宋体" w:eastAsia="宋体" w:hAnsi="宋体"/>
          <w:b/>
          <w:bCs/>
          <w:szCs w:val="21"/>
        </w:rPr>
        <w:t>会导致相关业务无处开展的情况出现。</w:t>
      </w:r>
    </w:p>
    <w:p w14:paraId="1884C84F"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可以说，监管部门此次对金交所的“一刀切”，甚至可以来得更早些。</w:t>
      </w:r>
    </w:p>
    <w:p w14:paraId="390535B3" w14:textId="77777777" w:rsidR="0058615A" w:rsidRPr="0058615A" w:rsidRDefault="0058615A" w:rsidP="0058615A">
      <w:pPr>
        <w:spacing w:beforeLines="50" w:before="156" w:afterLines="50" w:after="156" w:line="360" w:lineRule="exact"/>
        <w:jc w:val="center"/>
        <w:rPr>
          <w:rFonts w:ascii="华文中宋" w:eastAsia="华文中宋" w:hAnsi="华文中宋"/>
          <w:b/>
          <w:bCs/>
          <w:sz w:val="28"/>
          <w:szCs w:val="28"/>
        </w:rPr>
      </w:pPr>
      <w:r w:rsidRPr="0058615A">
        <w:rPr>
          <w:rFonts w:ascii="华文中宋" w:eastAsia="华文中宋" w:hAnsi="华文中宋"/>
          <w:b/>
          <w:bCs/>
          <w:sz w:val="28"/>
          <w:szCs w:val="28"/>
        </w:rPr>
        <w:t>警醒：严监管 堵源头</w:t>
      </w:r>
    </w:p>
    <w:p w14:paraId="17E9D3F2"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证券时报记者在此前的调查和报道中，也多次发现</w:t>
      </w:r>
      <w:proofErr w:type="gramStart"/>
      <w:r w:rsidRPr="0058615A">
        <w:rPr>
          <w:rFonts w:ascii="宋体" w:eastAsia="宋体" w:hAnsi="宋体"/>
          <w:b/>
          <w:bCs/>
          <w:szCs w:val="21"/>
        </w:rPr>
        <w:t>部分产交所在</w:t>
      </w:r>
      <w:proofErr w:type="gramEnd"/>
      <w:r w:rsidRPr="0058615A">
        <w:rPr>
          <w:rFonts w:ascii="宋体" w:eastAsia="宋体" w:hAnsi="宋体"/>
          <w:b/>
          <w:bCs/>
          <w:szCs w:val="21"/>
        </w:rPr>
        <w:t>从事类金交所的融资通道业务（详见证券时报此前报道《产交所灰幕调查》）。监管部门也组织各地开展</w:t>
      </w:r>
      <w:proofErr w:type="gramStart"/>
      <w:r w:rsidRPr="0058615A">
        <w:rPr>
          <w:rFonts w:ascii="宋体" w:eastAsia="宋体" w:hAnsi="宋体"/>
          <w:b/>
          <w:bCs/>
          <w:szCs w:val="21"/>
        </w:rPr>
        <w:t>了产交所</w:t>
      </w:r>
      <w:proofErr w:type="gramEnd"/>
      <w:r w:rsidRPr="0058615A">
        <w:rPr>
          <w:rFonts w:ascii="宋体" w:eastAsia="宋体" w:hAnsi="宋体"/>
          <w:b/>
          <w:bCs/>
          <w:szCs w:val="21"/>
        </w:rPr>
        <w:t>违规金融活动专项整治行动。据记者了解，目前市场上已无</w:t>
      </w:r>
      <w:proofErr w:type="gramStart"/>
      <w:r w:rsidRPr="0058615A">
        <w:rPr>
          <w:rFonts w:ascii="宋体" w:eastAsia="宋体" w:hAnsi="宋体"/>
          <w:b/>
          <w:bCs/>
          <w:szCs w:val="21"/>
        </w:rPr>
        <w:t>多少产交所</w:t>
      </w:r>
      <w:proofErr w:type="gramEnd"/>
      <w:r w:rsidRPr="0058615A">
        <w:rPr>
          <w:rFonts w:ascii="宋体" w:eastAsia="宋体" w:hAnsi="宋体"/>
          <w:b/>
          <w:bCs/>
          <w:szCs w:val="21"/>
        </w:rPr>
        <w:t>明目张胆从事这类业务。</w:t>
      </w:r>
    </w:p>
    <w:p w14:paraId="00749C12"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在此次四地发布的公告中，也都再次明确规定，除国家金融监管部门批准设立的交易场所外，其他各类地方交易场所经营活动不得金融化、证券化、期货化，不得为非标融资活动提供登记、备案、销售、挂牌、结算等相关服务。同时，四地也禁止域外各类交易场所或“伪金交所”在辖内从事相关业务。</w:t>
      </w:r>
    </w:p>
    <w:p w14:paraId="14941803"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这无疑是监管部门借此次关停金交所，</w:t>
      </w:r>
      <w:proofErr w:type="gramStart"/>
      <w:r w:rsidRPr="0058615A">
        <w:rPr>
          <w:rFonts w:ascii="宋体" w:eastAsia="宋体" w:hAnsi="宋体"/>
          <w:b/>
          <w:bCs/>
          <w:szCs w:val="21"/>
        </w:rPr>
        <w:t>向产交所</w:t>
      </w:r>
      <w:proofErr w:type="gramEnd"/>
      <w:r w:rsidRPr="0058615A">
        <w:rPr>
          <w:rFonts w:ascii="宋体" w:eastAsia="宋体" w:hAnsi="宋体"/>
          <w:b/>
          <w:bCs/>
          <w:szCs w:val="21"/>
        </w:rPr>
        <w:t>等地方交易场所发出的强烈信号和警醒：牢记金交所前车之鉴，严守合</w:t>
      </w:r>
      <w:proofErr w:type="gramStart"/>
      <w:r w:rsidRPr="0058615A">
        <w:rPr>
          <w:rFonts w:ascii="宋体" w:eastAsia="宋体" w:hAnsi="宋体"/>
          <w:b/>
          <w:bCs/>
          <w:szCs w:val="21"/>
        </w:rPr>
        <w:t>规</w:t>
      </w:r>
      <w:proofErr w:type="gramEnd"/>
      <w:r w:rsidRPr="0058615A">
        <w:rPr>
          <w:rFonts w:ascii="宋体" w:eastAsia="宋体" w:hAnsi="宋体"/>
          <w:b/>
          <w:bCs/>
          <w:szCs w:val="21"/>
        </w:rPr>
        <w:t>经营底线，以免重蹈覆辙。</w:t>
      </w:r>
    </w:p>
    <w:p w14:paraId="1069EAC9"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记者在此前的报道中也分析过，金交所乱象得以存在的一个主因是监管的缺失。负有属地责任、处在监管一线的地方政府，在人员配置、专业素养、执法权等诸多方面都存在明显短板，难以对金交所进行有效监管。</w:t>
      </w:r>
    </w:p>
    <w:p w14:paraId="4A60C8C5"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在各种因素综合作用下，使得实际上从事非法金融活动的各种公司和团队违法成本极低。上述曾任金交所高管的人士就称，这些年与金交所、“伪金交所”相关的</w:t>
      </w:r>
      <w:proofErr w:type="gramStart"/>
      <w:r w:rsidRPr="0058615A">
        <w:rPr>
          <w:rFonts w:ascii="宋体" w:eastAsia="宋体" w:hAnsi="宋体"/>
          <w:b/>
          <w:bCs/>
          <w:szCs w:val="21"/>
        </w:rPr>
        <w:t>爆雷事件</w:t>
      </w:r>
      <w:proofErr w:type="gramEnd"/>
      <w:r w:rsidRPr="0058615A">
        <w:rPr>
          <w:rFonts w:ascii="宋体" w:eastAsia="宋体" w:hAnsi="宋体"/>
          <w:b/>
          <w:bCs/>
          <w:szCs w:val="21"/>
        </w:rPr>
        <w:t>那么多，极少有人因此被抓，</w:t>
      </w:r>
      <w:proofErr w:type="gramStart"/>
      <w:r w:rsidRPr="0058615A">
        <w:rPr>
          <w:rFonts w:ascii="宋体" w:eastAsia="宋体" w:hAnsi="宋体"/>
          <w:b/>
          <w:bCs/>
          <w:szCs w:val="21"/>
        </w:rPr>
        <w:t>连罚款</w:t>
      </w:r>
      <w:proofErr w:type="gramEnd"/>
      <w:r w:rsidRPr="0058615A">
        <w:rPr>
          <w:rFonts w:ascii="宋体" w:eastAsia="宋体" w:hAnsi="宋体"/>
          <w:b/>
          <w:bCs/>
          <w:szCs w:val="21"/>
        </w:rPr>
        <w:t>都很少，相当于变相助长了他们长期大肆从事这一业务的歪风邪气。</w:t>
      </w:r>
    </w:p>
    <w:p w14:paraId="7E03020B"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一位接近监管的人士表示，对“伪金交所”这类非法金融机构，仅靠一般行政手段，很难形成震慑作用。必须要依法打击其中的违法犯罪活动，切实提高违法成本。</w:t>
      </w:r>
    </w:p>
    <w:p w14:paraId="54726BA9"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lastRenderedPageBreak/>
        <w:t>需要特别强调的是，金交所、“伪金交所”等乱象在那些风险事件中只是其中的一环，所扮演的角色都是“帮凶”和工具。维护金融市场秩序，防范非法集资风险，最重要的是对源头（融资方）以及长期活跃在各类融资活动中的财富管理公司的监管。把这些非法却又旺盛的需求遏制住了，为它们提供各种服务的中介自然也就失去滋生蔓延的土壤。</w:t>
      </w:r>
    </w:p>
    <w:p w14:paraId="4499226A"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普通投资人，在经历了这么多的风险事件后，也应该从中汲取到足够的教训：警惕各种打着“政府增信”幌子的非法理财产品，破除对各种“大而不倒”、</w:t>
      </w:r>
      <w:proofErr w:type="gramStart"/>
      <w:r w:rsidRPr="0058615A">
        <w:rPr>
          <w:rFonts w:ascii="宋体" w:eastAsia="宋体" w:hAnsi="宋体"/>
          <w:b/>
          <w:bCs/>
          <w:szCs w:val="21"/>
        </w:rPr>
        <w:t>国企城</w:t>
      </w:r>
      <w:proofErr w:type="gramEnd"/>
      <w:r w:rsidRPr="0058615A">
        <w:rPr>
          <w:rFonts w:ascii="宋体" w:eastAsia="宋体" w:hAnsi="宋体"/>
          <w:b/>
          <w:bCs/>
          <w:szCs w:val="21"/>
        </w:rPr>
        <w:t>投的“迷信”与“信仰”，不要只贪图高收益，却丢了本金。</w:t>
      </w:r>
    </w:p>
    <w:p w14:paraId="41CA0530" w14:textId="77777777" w:rsidR="0058615A" w:rsidRPr="0058615A" w:rsidRDefault="0058615A" w:rsidP="0058615A">
      <w:pPr>
        <w:spacing w:beforeLines="50" w:before="156" w:afterLines="50" w:after="156" w:line="360" w:lineRule="exact"/>
        <w:rPr>
          <w:rFonts w:ascii="宋体" w:eastAsia="宋体" w:hAnsi="宋体"/>
          <w:b/>
          <w:bCs/>
          <w:szCs w:val="21"/>
        </w:rPr>
      </w:pPr>
      <w:r w:rsidRPr="0058615A">
        <w:rPr>
          <w:rFonts w:ascii="宋体" w:eastAsia="宋体" w:hAnsi="宋体"/>
          <w:b/>
          <w:bCs/>
          <w:szCs w:val="21"/>
        </w:rPr>
        <w:t>请牢记那句常识：投资有风险，理财需谨慎。</w:t>
      </w:r>
    </w:p>
    <w:p w14:paraId="20626279" w14:textId="77777777" w:rsidR="00700591" w:rsidRDefault="00700591"/>
    <w:p w14:paraId="7872BA1B" w14:textId="77777777" w:rsidR="0058615A" w:rsidRDefault="0058615A"/>
    <w:p w14:paraId="00814C77" w14:textId="77777777" w:rsidR="0058615A" w:rsidRDefault="0058615A"/>
    <w:p w14:paraId="5B65F12E" w14:textId="77777777" w:rsidR="008064E1" w:rsidRDefault="008064E1" w:rsidP="008064E1">
      <w:pPr>
        <w:jc w:val="center"/>
        <w:rPr>
          <w:rFonts w:ascii="华文中宋" w:eastAsia="华文中宋" w:hAnsi="华文中宋"/>
          <w:b/>
          <w:bCs/>
          <w:sz w:val="36"/>
          <w:szCs w:val="36"/>
        </w:rPr>
      </w:pPr>
      <w:r w:rsidRPr="008064E1">
        <w:rPr>
          <w:rFonts w:ascii="华文中宋" w:eastAsia="华文中宋" w:hAnsi="华文中宋"/>
          <w:b/>
          <w:bCs/>
          <w:sz w:val="36"/>
          <w:szCs w:val="36"/>
        </w:rPr>
        <w:t>金交所迎新一轮集中关停 多地公布“伪金交所”名单</w:t>
      </w:r>
    </w:p>
    <w:p w14:paraId="1626447A" w14:textId="77777777" w:rsidR="008064E1" w:rsidRDefault="008064E1" w:rsidP="008064E1">
      <w:pPr>
        <w:jc w:val="center"/>
        <w:rPr>
          <w:rFonts w:ascii="华文中宋" w:eastAsia="华文中宋" w:hAnsi="华文中宋" w:hint="eastAsia"/>
          <w:b/>
          <w:bCs/>
          <w:sz w:val="36"/>
          <w:szCs w:val="36"/>
        </w:rPr>
      </w:pPr>
    </w:p>
    <w:p w14:paraId="53E47745" w14:textId="2C345EE3" w:rsidR="008064E1" w:rsidRPr="008064E1" w:rsidRDefault="008064E1" w:rsidP="008064E1">
      <w:r w:rsidRPr="008064E1">
        <w:drawing>
          <wp:inline distT="0" distB="0" distL="0" distR="0" wp14:anchorId="10D1CB03" wp14:editId="335DAFF7">
            <wp:extent cx="5274310" cy="3694430"/>
            <wp:effectExtent l="0" t="0" r="0" b="0"/>
            <wp:docPr id="83455338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4310" cy="3694430"/>
                    </a:xfrm>
                    <a:prstGeom prst="rect">
                      <a:avLst/>
                    </a:prstGeom>
                    <a:noFill/>
                    <a:ln>
                      <a:noFill/>
                    </a:ln>
                  </pic:spPr>
                </pic:pic>
              </a:graphicData>
            </a:graphic>
          </wp:inline>
        </w:drawing>
      </w:r>
    </w:p>
    <w:p w14:paraId="7EC07ABD" w14:textId="77777777" w:rsidR="008064E1" w:rsidRPr="008064E1" w:rsidRDefault="008064E1" w:rsidP="008064E1">
      <w:pPr>
        <w:spacing w:beforeLines="50" w:before="156" w:afterLines="50" w:after="156" w:line="360" w:lineRule="exact"/>
        <w:jc w:val="center"/>
        <w:rPr>
          <w:rFonts w:asciiTheme="minorEastAsia" w:hAnsiTheme="minorEastAsia"/>
          <w:b/>
          <w:bCs/>
        </w:rPr>
      </w:pPr>
      <w:r w:rsidRPr="008064E1">
        <w:rPr>
          <w:rFonts w:asciiTheme="minorEastAsia" w:hAnsiTheme="minorEastAsia"/>
          <w:b/>
          <w:bCs/>
        </w:rPr>
        <w:t>证券时报记者 田牧</w:t>
      </w:r>
    </w:p>
    <w:p w14:paraId="39319B59"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时隔一个月后，金交</w:t>
      </w:r>
      <w:proofErr w:type="gramStart"/>
      <w:r w:rsidRPr="008064E1">
        <w:rPr>
          <w:rFonts w:asciiTheme="minorEastAsia" w:hAnsiTheme="minorEastAsia"/>
          <w:b/>
          <w:bCs/>
        </w:rPr>
        <w:t>所行业</w:t>
      </w:r>
      <w:proofErr w:type="gramEnd"/>
      <w:r w:rsidRPr="008064E1">
        <w:rPr>
          <w:rFonts w:asciiTheme="minorEastAsia" w:hAnsiTheme="minorEastAsia"/>
          <w:b/>
          <w:bCs/>
        </w:rPr>
        <w:t>再现第二轮集中关停潮。</w:t>
      </w:r>
    </w:p>
    <w:p w14:paraId="3F217462"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证券时报记者注意到，与3月25日首批四省市关停金交所动作类似，山东、吉林、江西、</w:t>
      </w:r>
      <w:r w:rsidRPr="008064E1">
        <w:rPr>
          <w:rFonts w:asciiTheme="minorEastAsia" w:hAnsiTheme="minorEastAsia"/>
          <w:b/>
          <w:bCs/>
        </w:rPr>
        <w:lastRenderedPageBreak/>
        <w:t>青岛、深圳等省市地方金融监管部门于5月10日下午集中公告，宣布取消辖内5家金交所的业务资质。至此，两轮集中公告发布后，全国接近一半的金交所已被关闭。</w:t>
      </w:r>
    </w:p>
    <w:p w14:paraId="017A9F49"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这再次凸显了监管层面整体关停金交所的决心。“开弓没有回头箭，这次是决心彻底解决地方金交所问题。”一位接近权威监管部门的人士告诉记者。</w:t>
      </w:r>
    </w:p>
    <w:p w14:paraId="583D522A" w14:textId="77777777" w:rsidR="008064E1" w:rsidRPr="008064E1" w:rsidRDefault="008064E1" w:rsidP="008064E1">
      <w:pPr>
        <w:spacing w:beforeLines="50" w:before="156" w:afterLines="50" w:after="156" w:line="360" w:lineRule="exact"/>
        <w:jc w:val="center"/>
        <w:rPr>
          <w:rFonts w:ascii="华文中宋" w:eastAsia="华文中宋" w:hAnsi="华文中宋"/>
          <w:b/>
          <w:bCs/>
          <w:sz w:val="28"/>
          <w:szCs w:val="28"/>
        </w:rPr>
      </w:pPr>
      <w:r w:rsidRPr="008064E1">
        <w:rPr>
          <w:rFonts w:ascii="华文中宋" w:eastAsia="华文中宋" w:hAnsi="华文中宋"/>
          <w:b/>
          <w:bCs/>
          <w:sz w:val="28"/>
          <w:szCs w:val="28"/>
        </w:rPr>
        <w:t>多地再集中发公告</w:t>
      </w:r>
    </w:p>
    <w:p w14:paraId="4385FA43"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查看上述五省市公告，与首批湖南等四地公告内容基本相同，都是宣布取消辖内现有金交所的金融资产交易业务资质，提示“伪金交所”风险，并针对地方交易场所经营活动</w:t>
      </w:r>
      <w:proofErr w:type="gramStart"/>
      <w:r w:rsidRPr="008064E1">
        <w:rPr>
          <w:rFonts w:asciiTheme="minorEastAsia" w:hAnsiTheme="minorEastAsia"/>
          <w:b/>
          <w:bCs/>
        </w:rPr>
        <w:t>作出</w:t>
      </w:r>
      <w:proofErr w:type="gramEnd"/>
      <w:r w:rsidRPr="008064E1">
        <w:rPr>
          <w:rFonts w:asciiTheme="minorEastAsia" w:hAnsiTheme="minorEastAsia"/>
          <w:b/>
          <w:bCs/>
        </w:rPr>
        <w:t>了规定和说明。</w:t>
      </w:r>
    </w:p>
    <w:p w14:paraId="05DEBBF4"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此次五地关停的金交所分别是江西赣南金融资产交易中心、吉林东北亚创新金融资产交易中心、山东金融资产交易中心、深圳市银通前海金融资产交易中心、青岛国富金融资产交易中心。另外，福建省地方金融监管局在4月22日公告，宣布取消福建海峡金融资产交易中心有限公司的业务资质。广西壮族自治区地方金融监管局则于4月28日公告，宣布取消南宁金融资产交易中心有限责任公司的金融资产类交易业务资质。</w:t>
      </w:r>
    </w:p>
    <w:p w14:paraId="4CDD2A6D"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这7家新一批被关停的金交所中，证券时报记者在此前报道中已指出吉林、广西两地的金交所在2023年下半年已完成更名，实质退出。青岛国富金融资产交易中心则于5月8日刚刚完成工商信息变更，将公司名称变更为青岛国富供应链管理服务有限公司。</w:t>
      </w:r>
    </w:p>
    <w:p w14:paraId="5BB16692"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截至目前，自监管正式决定彻底关停金交所以来，共有11家金交所被关停。排除实际上已不算地方金交所的北京金融资产交易所，记者获取的27家金交所名单中，关停进度条已走了近一半。</w:t>
      </w:r>
    </w:p>
    <w:p w14:paraId="3FB8DA1D"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如证券时报此前报道所提，因不同金交所存量风险和遗留问题化解所需时间不同，全部关停金交所的工作是根据各地实际情况渐次有序进行，“整体在一年内完成”。据记者了解，已经关停的这11家金交所，存量风险很小且后续清退过程已做好较妥善安排。剩余未关停的金交所，尤其那些存量问题依然较多的金交所，退出工作可能需要更长一点时间。</w:t>
      </w:r>
    </w:p>
    <w:p w14:paraId="319453AB"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但无论如何，监管层面决心已定，金交所全部关停的大势不可逆。</w:t>
      </w:r>
    </w:p>
    <w:p w14:paraId="225A8563" w14:textId="77777777" w:rsidR="008064E1" w:rsidRPr="008064E1" w:rsidRDefault="008064E1" w:rsidP="008064E1">
      <w:pPr>
        <w:spacing w:beforeLines="50" w:before="156" w:afterLines="50" w:after="156" w:line="360" w:lineRule="exact"/>
        <w:jc w:val="center"/>
        <w:rPr>
          <w:rFonts w:ascii="华文中宋" w:eastAsia="华文中宋" w:hAnsi="华文中宋"/>
          <w:b/>
          <w:bCs/>
          <w:sz w:val="28"/>
          <w:szCs w:val="28"/>
        </w:rPr>
      </w:pPr>
      <w:r w:rsidRPr="008064E1">
        <w:rPr>
          <w:rFonts w:ascii="华文中宋" w:eastAsia="华文中宋" w:hAnsi="华文中宋"/>
          <w:b/>
          <w:bCs/>
          <w:sz w:val="28"/>
          <w:szCs w:val="28"/>
        </w:rPr>
        <w:t>多地公布“伪金交所”名单</w:t>
      </w:r>
    </w:p>
    <w:p w14:paraId="05BBFEA3"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除上述五省市公告外，记者还注意到，山东济南、烟台、聊城、济宁，以及广西玉林等市的监管部门也在昨日集中发布了“伪金交所”清理工作的公告。</w:t>
      </w:r>
    </w:p>
    <w:p w14:paraId="18245443"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如《对烟台市“伪金交所”清理工作涉及企业注销的公告》中所示，</w:t>
      </w:r>
      <w:proofErr w:type="gramStart"/>
      <w:r w:rsidRPr="008064E1">
        <w:rPr>
          <w:rFonts w:asciiTheme="minorEastAsia" w:hAnsiTheme="minorEastAsia"/>
          <w:b/>
          <w:bCs/>
        </w:rPr>
        <w:t>山东泓大财务</w:t>
      </w:r>
      <w:proofErr w:type="gramEnd"/>
      <w:r w:rsidRPr="008064E1">
        <w:rPr>
          <w:rFonts w:asciiTheme="minorEastAsia" w:hAnsiTheme="minorEastAsia"/>
          <w:b/>
          <w:bCs/>
        </w:rPr>
        <w:t>信息咨询服务有限公司（曾用名：</w:t>
      </w:r>
      <w:proofErr w:type="gramStart"/>
      <w:r w:rsidRPr="008064E1">
        <w:rPr>
          <w:rFonts w:asciiTheme="minorEastAsia" w:hAnsiTheme="minorEastAsia"/>
          <w:b/>
          <w:bCs/>
        </w:rPr>
        <w:t>烟台泓大产权</w:t>
      </w:r>
      <w:proofErr w:type="gramEnd"/>
      <w:r w:rsidRPr="008064E1">
        <w:rPr>
          <w:rFonts w:asciiTheme="minorEastAsia" w:hAnsiTheme="minorEastAsia"/>
          <w:b/>
          <w:bCs/>
        </w:rPr>
        <w:t>交易有限公司）未经省级人民政府批准设立，仅为商务服务业类企业，不具备开展各类交易场所业务的资质，也不得为非标债务融资活动提供登记备案服务。该公司已于2024年3月29日完成工商登记注销。</w:t>
      </w:r>
    </w:p>
    <w:p w14:paraId="44C145C9"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公告还提醒广大社会公众，切实增强风险识别和防范意识，坚决抵制各类违法违规金融活动，树立正确的投融资理念，牢记投资有风险、理财需谨慎、风险须自担。</w:t>
      </w:r>
    </w:p>
    <w:p w14:paraId="459F19BE"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lastRenderedPageBreak/>
        <w:t>山东其他地市所发“伪金交所”清理工作公告内容与烟台类似，加上青岛在</w:t>
      </w:r>
      <w:proofErr w:type="gramStart"/>
      <w:r w:rsidRPr="008064E1">
        <w:rPr>
          <w:rFonts w:asciiTheme="minorEastAsia" w:hAnsiTheme="minorEastAsia"/>
          <w:b/>
          <w:bCs/>
        </w:rPr>
        <w:t>取消金</w:t>
      </w:r>
      <w:proofErr w:type="gramEnd"/>
      <w:r w:rsidRPr="008064E1">
        <w:rPr>
          <w:rFonts w:asciiTheme="minorEastAsia" w:hAnsiTheme="minorEastAsia"/>
          <w:b/>
          <w:bCs/>
        </w:rPr>
        <w:t>交所业务资质公告中一同公布的1家“伪金交所”，昨日山东各地市共公布了5家“伪金交所”。</w:t>
      </w:r>
    </w:p>
    <w:p w14:paraId="03AB732E"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稍早前的4月18日至19日，记者还注意到，江西吉安、鹰潭、萍乡、宜春、上饶及广西百色也发布了与此次山东类似的公告。</w:t>
      </w:r>
    </w:p>
    <w:p w14:paraId="636E676D"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昨日江西省地方金融管理局发布的《关于取消赣南金融资产交易中心业务资质和防范“伪金交所”风险的公告》显示，自2020年以来，江西共排查发现并清退了31家“伪金交所”，还列出了这31家公司的名单及处理进展。这31家中除包括上述4月已单独发布公告的吉安五地公司外，还新增了景德镇、抚州各一家“伪金交所”。</w:t>
      </w:r>
    </w:p>
    <w:p w14:paraId="1D82B7E3"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从2022年全国范围内启动针对“伪金交所”的专项整治工作以来，各省市区县都不断发布类似公告。此次不同的是，各地在公告中还统一公布了辖内的“伪金交所”。</w:t>
      </w:r>
      <w:proofErr w:type="gramStart"/>
      <w:r w:rsidRPr="008064E1">
        <w:rPr>
          <w:rFonts w:asciiTheme="minorEastAsia" w:hAnsiTheme="minorEastAsia"/>
          <w:b/>
          <w:bCs/>
        </w:rPr>
        <w:t>据证券</w:t>
      </w:r>
      <w:proofErr w:type="gramEnd"/>
      <w:r w:rsidRPr="008064E1">
        <w:rPr>
          <w:rFonts w:asciiTheme="minorEastAsia" w:hAnsiTheme="minorEastAsia"/>
          <w:b/>
          <w:bCs/>
        </w:rPr>
        <w:t>时报记者统计，目前这些地区公布的“伪金交所”共有40家，且都已被清理。证券时报在此前两次报道中集中披露了近130家“伪金交所”，经过两年多全国范围内的清理整顿工作，大部分被所在地政府排查确定的“伪金交所”，都通过注销、更改名称和经营范围等方式进行了清理。</w:t>
      </w:r>
    </w:p>
    <w:p w14:paraId="3AD53989"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从存量风险和违规非标理财市场的地下融资通道看，即将被全部关停的金交所只剩下历史上形成的存量业务，相对而言，近几年市场上所谓的“金交所产品”事实上都是“伪金交所”参与的。随着“伪金交所”整治清理工作的深入，“伪金交所”的活动空间也正在被大大压缩。</w:t>
      </w:r>
    </w:p>
    <w:p w14:paraId="210D0DD8"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但是，只要地下融资活动需求还在，滋生“伪金交所”的土壤就还存在，从技术层面看，根绝“伪金交所”有一定难度，非法机构可能继续变换“马甲”开展活动。但从目前多个地区密集公告</w:t>
      </w:r>
      <w:proofErr w:type="gramStart"/>
      <w:r w:rsidRPr="008064E1">
        <w:rPr>
          <w:rFonts w:asciiTheme="minorEastAsia" w:hAnsiTheme="minorEastAsia"/>
          <w:b/>
          <w:bCs/>
        </w:rPr>
        <w:t>取消金</w:t>
      </w:r>
      <w:proofErr w:type="gramEnd"/>
      <w:r w:rsidRPr="008064E1">
        <w:rPr>
          <w:rFonts w:asciiTheme="minorEastAsia" w:hAnsiTheme="minorEastAsia"/>
          <w:b/>
          <w:bCs/>
        </w:rPr>
        <w:t>交所资质、公布“伪金交所”黑名单、不断进行风险提示的动作分析，监管层已在宣传警示教育方面发力。</w:t>
      </w:r>
    </w:p>
    <w:p w14:paraId="0CD8DF7A"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阳光是最好的防腐剂。这些“伪金交所”被公之于众后将无处遁形，对其他“伪金交所”也是巨大震慑。</w:t>
      </w:r>
    </w:p>
    <w:p w14:paraId="25CBE4ED" w14:textId="5D360138" w:rsidR="008064E1" w:rsidRPr="008064E1" w:rsidRDefault="008064E1" w:rsidP="008064E1">
      <w:pPr>
        <w:spacing w:beforeLines="50" w:before="156" w:afterLines="50" w:after="156" w:line="360" w:lineRule="exact"/>
        <w:jc w:val="center"/>
        <w:rPr>
          <w:rFonts w:ascii="华文中宋" w:eastAsia="华文中宋" w:hAnsi="华文中宋"/>
          <w:b/>
          <w:bCs/>
          <w:sz w:val="28"/>
          <w:szCs w:val="28"/>
        </w:rPr>
      </w:pPr>
      <w:r w:rsidRPr="008064E1">
        <w:rPr>
          <w:rFonts w:ascii="华文中宋" w:eastAsia="华文中宋" w:hAnsi="华文中宋"/>
          <w:b/>
          <w:bCs/>
          <w:sz w:val="28"/>
          <w:szCs w:val="28"/>
        </w:rPr>
        <w:t>“金交所产品”认知惯性正在扭转</w:t>
      </w:r>
    </w:p>
    <w:p w14:paraId="1A1A19F6"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证券时报在此前报道中提到，经过多年的市场教育和强大的认知惯性，“金交所产品”成为非标理财市场上一类与政府信用挂钩、具有“稳赚不赔”信仰的独特产品。发展到后期，已经与实际备案机构是否为真正金交所都</w:t>
      </w:r>
      <w:proofErr w:type="gramStart"/>
      <w:r w:rsidRPr="008064E1">
        <w:rPr>
          <w:rFonts w:asciiTheme="minorEastAsia" w:hAnsiTheme="minorEastAsia"/>
          <w:b/>
          <w:bCs/>
        </w:rPr>
        <w:t>已关系</w:t>
      </w:r>
      <w:proofErr w:type="gramEnd"/>
      <w:r w:rsidRPr="008064E1">
        <w:rPr>
          <w:rFonts w:asciiTheme="minorEastAsia" w:hAnsiTheme="minorEastAsia"/>
          <w:b/>
          <w:bCs/>
        </w:rPr>
        <w:t>不大。后续“伪金交所”正是大肆利用了这一点。</w:t>
      </w:r>
    </w:p>
    <w:p w14:paraId="7662BF3E"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随着金交所关停的消息在全行业刷屏，引发大面积的讨论，业内人士对金交所的结局和“伪金交所”的定性基本都已清楚。即使这样，记者注意到，多年来形成的惯性思维给行业打上的“烙印”仍非一时就可消除。目前市场上各</w:t>
      </w:r>
      <w:proofErr w:type="gramStart"/>
      <w:r w:rsidRPr="008064E1">
        <w:rPr>
          <w:rFonts w:asciiTheme="minorEastAsia" w:hAnsiTheme="minorEastAsia"/>
          <w:b/>
          <w:bCs/>
        </w:rPr>
        <w:t>类涉众</w:t>
      </w:r>
      <w:proofErr w:type="gramEnd"/>
      <w:r w:rsidRPr="008064E1">
        <w:rPr>
          <w:rFonts w:asciiTheme="minorEastAsia" w:hAnsiTheme="minorEastAsia"/>
          <w:b/>
          <w:bCs/>
        </w:rPr>
        <w:t>理财产品中，仍有一些被称作“金交所产品”在销售，一些普通投资人对其违规违法的风险所知甚少。</w:t>
      </w:r>
    </w:p>
    <w:p w14:paraId="454F954D"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客观来说，改变投资者的认知惯性、提高风险防范意识确实需要一些时间。好在从第</w:t>
      </w:r>
      <w:proofErr w:type="gramStart"/>
      <w:r w:rsidRPr="008064E1">
        <w:rPr>
          <w:rFonts w:asciiTheme="minorEastAsia" w:hAnsiTheme="minorEastAsia"/>
          <w:b/>
          <w:bCs/>
        </w:rPr>
        <w:t>一家</w:t>
      </w:r>
      <w:r w:rsidRPr="008064E1">
        <w:rPr>
          <w:rFonts w:asciiTheme="minorEastAsia" w:hAnsiTheme="minorEastAsia"/>
          <w:b/>
          <w:bCs/>
        </w:rPr>
        <w:lastRenderedPageBreak/>
        <w:t>金</w:t>
      </w:r>
      <w:proofErr w:type="gramEnd"/>
      <w:r w:rsidRPr="008064E1">
        <w:rPr>
          <w:rFonts w:asciiTheme="minorEastAsia" w:hAnsiTheme="minorEastAsia"/>
          <w:b/>
          <w:bCs/>
        </w:rPr>
        <w:t>交所关停开始，这个扭转认知的过程就已经开始。随着上述新一轮集中关停动作和风险提示，这一过程正在加速推进。</w:t>
      </w:r>
    </w:p>
    <w:p w14:paraId="191F747B"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此前一直在讨论且备受关注的问题——“伪金交所”的行为是否涉刑？截至目前在司法实践中还未有新的突破。但记者注意到，去年底某省级公安部门旗下</w:t>
      </w:r>
      <w:proofErr w:type="gramStart"/>
      <w:r w:rsidRPr="008064E1">
        <w:rPr>
          <w:rFonts w:asciiTheme="minorEastAsia" w:hAnsiTheme="minorEastAsia"/>
          <w:b/>
          <w:bCs/>
        </w:rPr>
        <w:t>微信公众号</w:t>
      </w:r>
      <w:proofErr w:type="gramEnd"/>
      <w:r w:rsidRPr="008064E1">
        <w:rPr>
          <w:rFonts w:asciiTheme="minorEastAsia" w:hAnsiTheme="minorEastAsia"/>
          <w:b/>
          <w:bCs/>
        </w:rPr>
        <w:t>曾发布一篇普法文章，标题是《冒烟指数解析“伪金交所”非法集资模式》。</w:t>
      </w:r>
    </w:p>
    <w:p w14:paraId="66C44D6D" w14:textId="77777777" w:rsidR="008064E1" w:rsidRPr="008064E1" w:rsidRDefault="008064E1" w:rsidP="008064E1">
      <w:pPr>
        <w:spacing w:beforeLines="50" w:before="156" w:afterLines="50" w:after="156" w:line="360" w:lineRule="exact"/>
        <w:rPr>
          <w:rFonts w:asciiTheme="minorEastAsia" w:hAnsiTheme="minorEastAsia"/>
          <w:b/>
          <w:bCs/>
        </w:rPr>
      </w:pPr>
      <w:r w:rsidRPr="008064E1">
        <w:rPr>
          <w:rFonts w:asciiTheme="minorEastAsia" w:hAnsiTheme="minorEastAsia"/>
          <w:b/>
          <w:bCs/>
        </w:rPr>
        <w:t>这值得相关各方细细琢磨。</w:t>
      </w:r>
    </w:p>
    <w:p w14:paraId="0CA29ED6" w14:textId="7CDA8340" w:rsidR="0058615A" w:rsidRDefault="008064E1">
      <w:r>
        <w:rPr>
          <w:rFonts w:hint="eastAsia"/>
        </w:rPr>
        <w:t xml:space="preserve"> </w:t>
      </w:r>
    </w:p>
    <w:p w14:paraId="6858216A" w14:textId="77777777" w:rsidR="008064E1" w:rsidRDefault="008064E1"/>
    <w:p w14:paraId="5900AEF6" w14:textId="77777777" w:rsidR="008064E1" w:rsidRDefault="008064E1"/>
    <w:p w14:paraId="46104791" w14:textId="77777777" w:rsidR="008064E1" w:rsidRDefault="008064E1" w:rsidP="008064E1">
      <w:pPr>
        <w:spacing w:line="500" w:lineRule="exact"/>
        <w:jc w:val="center"/>
        <w:rPr>
          <w:rFonts w:ascii="华文中宋" w:eastAsia="华文中宋" w:hAnsi="华文中宋"/>
          <w:b/>
          <w:bCs/>
          <w:sz w:val="36"/>
          <w:szCs w:val="36"/>
        </w:rPr>
      </w:pPr>
      <w:r w:rsidRPr="008064E1">
        <w:rPr>
          <w:rFonts w:ascii="华文中宋" w:eastAsia="华文中宋" w:hAnsi="华文中宋"/>
          <w:b/>
          <w:bCs/>
          <w:sz w:val="36"/>
          <w:szCs w:val="36"/>
        </w:rPr>
        <w:t>“伪金交所”无处遁形 第三批共8家金交所集中关停</w:t>
      </w:r>
    </w:p>
    <w:p w14:paraId="52BAE6C8" w14:textId="77777777" w:rsidR="008064E1" w:rsidRPr="008064E1" w:rsidRDefault="008064E1" w:rsidP="008064E1">
      <w:pPr>
        <w:spacing w:line="500" w:lineRule="exact"/>
        <w:jc w:val="center"/>
        <w:rPr>
          <w:rFonts w:ascii="华文中宋" w:eastAsia="华文中宋" w:hAnsi="华文中宋" w:hint="eastAsia"/>
          <w:b/>
          <w:bCs/>
          <w:sz w:val="36"/>
          <w:szCs w:val="36"/>
        </w:rPr>
      </w:pPr>
    </w:p>
    <w:p w14:paraId="250D61B2" w14:textId="6F035D2F" w:rsidR="008064E1" w:rsidRPr="008064E1" w:rsidRDefault="008064E1" w:rsidP="008064E1">
      <w:r w:rsidRPr="008064E1">
        <w:drawing>
          <wp:inline distT="0" distB="0" distL="0" distR="0" wp14:anchorId="790EC108" wp14:editId="67597C53">
            <wp:extent cx="5274310" cy="1554480"/>
            <wp:effectExtent l="0" t="0" r="0" b="0"/>
            <wp:docPr id="114794628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1554480"/>
                    </a:xfrm>
                    <a:prstGeom prst="rect">
                      <a:avLst/>
                    </a:prstGeom>
                    <a:noFill/>
                    <a:ln>
                      <a:noFill/>
                    </a:ln>
                  </pic:spPr>
                </pic:pic>
              </a:graphicData>
            </a:graphic>
          </wp:inline>
        </w:drawing>
      </w:r>
    </w:p>
    <w:p w14:paraId="0D69BAF7" w14:textId="77777777" w:rsidR="008064E1" w:rsidRPr="008064E1" w:rsidRDefault="008064E1" w:rsidP="008064E1">
      <w:pPr>
        <w:spacing w:beforeLines="50" w:before="156" w:afterLines="50" w:after="156" w:line="360" w:lineRule="exact"/>
        <w:jc w:val="center"/>
        <w:rPr>
          <w:rFonts w:asciiTheme="minorEastAsia" w:hAnsiTheme="minorEastAsia"/>
          <w:b/>
          <w:bCs/>
          <w:szCs w:val="21"/>
        </w:rPr>
      </w:pPr>
      <w:r w:rsidRPr="008064E1">
        <w:rPr>
          <w:rFonts w:asciiTheme="minorEastAsia" w:hAnsiTheme="minorEastAsia"/>
          <w:b/>
          <w:bCs/>
          <w:szCs w:val="21"/>
        </w:rPr>
        <w:t>证券时报记者 田牧</w:t>
      </w:r>
    </w:p>
    <w:p w14:paraId="2C364C48" w14:textId="77777777" w:rsidR="008064E1" w:rsidRPr="008064E1" w:rsidRDefault="008064E1" w:rsidP="008064E1">
      <w:pPr>
        <w:spacing w:beforeLines="50" w:before="156" w:afterLines="50" w:after="156" w:line="360" w:lineRule="exact"/>
        <w:rPr>
          <w:rFonts w:asciiTheme="minorEastAsia" w:hAnsiTheme="minorEastAsia"/>
          <w:b/>
          <w:bCs/>
          <w:szCs w:val="21"/>
        </w:rPr>
      </w:pPr>
      <w:r w:rsidRPr="008064E1">
        <w:rPr>
          <w:rFonts w:asciiTheme="minorEastAsia" w:hAnsiTheme="minorEastAsia"/>
          <w:b/>
          <w:bCs/>
          <w:szCs w:val="21"/>
        </w:rPr>
        <w:t>6月21日，天津、山西、黑龙江、河南、广东、海南、厦门、宁波等八地金融管理部门集中公告，宣布各自辖内合计8家金交所取消业务资质的消息。这是自3月开始，金交所全行业进入关停期后，第三批金交所被集中关停。</w:t>
      </w:r>
    </w:p>
    <w:p w14:paraId="3A1922A0" w14:textId="77777777" w:rsidR="008064E1" w:rsidRPr="008064E1" w:rsidRDefault="008064E1" w:rsidP="008064E1">
      <w:pPr>
        <w:spacing w:beforeLines="50" w:before="156" w:afterLines="50" w:after="156" w:line="360" w:lineRule="exact"/>
        <w:rPr>
          <w:rFonts w:asciiTheme="minorEastAsia" w:hAnsiTheme="minorEastAsia"/>
          <w:b/>
          <w:bCs/>
          <w:szCs w:val="21"/>
        </w:rPr>
      </w:pPr>
      <w:r w:rsidRPr="008064E1">
        <w:rPr>
          <w:rFonts w:asciiTheme="minorEastAsia" w:hAnsiTheme="minorEastAsia"/>
          <w:b/>
          <w:bCs/>
          <w:szCs w:val="21"/>
        </w:rPr>
        <w:t>此次被关停的8家金交所分别是天津金融资产交易所、山西省金融资产交易中心、黑龙江省金融资产交易中心、中原金融资产交易中心、广东金融资产交易中心、三亚国际资产交易中心、厦门国际金融资产交易中心、宁波金融资产交易中心。至此，27家应关闭的金交所中已有19家被正式关停。</w:t>
      </w:r>
      <w:proofErr w:type="gramStart"/>
      <w:r w:rsidRPr="008064E1">
        <w:rPr>
          <w:rFonts w:asciiTheme="minorEastAsia" w:hAnsiTheme="minorEastAsia"/>
          <w:b/>
          <w:bCs/>
          <w:szCs w:val="21"/>
        </w:rPr>
        <w:t>据证券</w:t>
      </w:r>
      <w:proofErr w:type="gramEnd"/>
      <w:r w:rsidRPr="008064E1">
        <w:rPr>
          <w:rFonts w:asciiTheme="minorEastAsia" w:hAnsiTheme="minorEastAsia"/>
          <w:b/>
          <w:bCs/>
          <w:szCs w:val="21"/>
        </w:rPr>
        <w:t>时报记者了解，余下8家金交所的关停工作将会在今年底前完成。</w:t>
      </w:r>
    </w:p>
    <w:p w14:paraId="71521E00" w14:textId="77777777" w:rsidR="008064E1" w:rsidRPr="008064E1" w:rsidRDefault="008064E1" w:rsidP="008064E1">
      <w:pPr>
        <w:spacing w:beforeLines="50" w:before="156" w:afterLines="50" w:after="156" w:line="360" w:lineRule="exact"/>
        <w:rPr>
          <w:rFonts w:asciiTheme="minorEastAsia" w:hAnsiTheme="minorEastAsia"/>
          <w:b/>
          <w:bCs/>
          <w:szCs w:val="21"/>
        </w:rPr>
      </w:pPr>
      <w:r w:rsidRPr="008064E1">
        <w:rPr>
          <w:rFonts w:asciiTheme="minorEastAsia" w:hAnsiTheme="minorEastAsia"/>
          <w:b/>
          <w:bCs/>
          <w:szCs w:val="21"/>
        </w:rPr>
        <w:t>如证券时报此前报道，关停金交所的工作是在中央有关部门统筹协调下，各地依据实际情况分批次推进。从前两轮各地集中公告中也能看出，目前从中央到地方对这一持续多年的违规理财融资通道的清理整顿，采用双管齐下的方式进行：一方面彻底关停金交所，另一方面持续不断地打击“伪金交所”，直至彻底切断这类融资通道的生存纽带。</w:t>
      </w:r>
    </w:p>
    <w:p w14:paraId="7655E9F2" w14:textId="77777777" w:rsidR="008064E1" w:rsidRPr="008064E1" w:rsidRDefault="008064E1" w:rsidP="008064E1">
      <w:pPr>
        <w:spacing w:beforeLines="50" w:before="156" w:afterLines="50" w:after="156" w:line="360" w:lineRule="exact"/>
        <w:rPr>
          <w:rFonts w:asciiTheme="minorEastAsia" w:hAnsiTheme="minorEastAsia"/>
          <w:b/>
          <w:bCs/>
          <w:szCs w:val="21"/>
        </w:rPr>
      </w:pPr>
      <w:r w:rsidRPr="008064E1">
        <w:rPr>
          <w:rFonts w:asciiTheme="minorEastAsia" w:hAnsiTheme="minorEastAsia"/>
          <w:b/>
          <w:bCs/>
          <w:szCs w:val="21"/>
        </w:rPr>
        <w:t>继5月10日后，昨日贵州、湖南、云南、山西、宁夏、黑龙江等多地再次发布防范“伪金交所”的风险提示，公布了辖内的“伪金交所”名单。据统计，</w:t>
      </w:r>
      <w:proofErr w:type="gramStart"/>
      <w:r w:rsidRPr="008064E1">
        <w:rPr>
          <w:rFonts w:asciiTheme="minorEastAsia" w:hAnsiTheme="minorEastAsia"/>
          <w:b/>
          <w:bCs/>
          <w:szCs w:val="21"/>
        </w:rPr>
        <w:t>此次多</w:t>
      </w:r>
      <w:proofErr w:type="gramEnd"/>
      <w:r w:rsidRPr="008064E1">
        <w:rPr>
          <w:rFonts w:asciiTheme="minorEastAsia" w:hAnsiTheme="minorEastAsia"/>
          <w:b/>
          <w:bCs/>
          <w:szCs w:val="21"/>
        </w:rPr>
        <w:t>地公布的“伪金</w:t>
      </w:r>
      <w:r w:rsidRPr="008064E1">
        <w:rPr>
          <w:rFonts w:asciiTheme="minorEastAsia" w:hAnsiTheme="minorEastAsia"/>
          <w:b/>
          <w:bCs/>
          <w:szCs w:val="21"/>
        </w:rPr>
        <w:lastRenderedPageBreak/>
        <w:t>交所”共24家。稍早前的6月3日，湖北随州公布了一家“伪金交所”公司。6月6日，新疆乌鲁木齐公布了两家“伪金交所”。这些“伪金交所”中，有些曾</w:t>
      </w:r>
      <w:proofErr w:type="gramStart"/>
      <w:r w:rsidRPr="008064E1">
        <w:rPr>
          <w:rFonts w:asciiTheme="minorEastAsia" w:hAnsiTheme="minorEastAsia"/>
          <w:b/>
          <w:bCs/>
          <w:szCs w:val="21"/>
        </w:rPr>
        <w:t>为涉系</w:t>
      </w:r>
      <w:proofErr w:type="gramEnd"/>
      <w:r w:rsidRPr="008064E1">
        <w:rPr>
          <w:rFonts w:asciiTheme="minorEastAsia" w:hAnsiTheme="minorEastAsia"/>
          <w:b/>
          <w:bCs/>
          <w:szCs w:val="21"/>
        </w:rPr>
        <w:t>集团企业等近年爆雷、涉嫌非法集资的理财产品做过融资通道。</w:t>
      </w:r>
    </w:p>
    <w:p w14:paraId="58FCE42B" w14:textId="77777777" w:rsidR="008064E1" w:rsidRPr="008064E1" w:rsidRDefault="008064E1" w:rsidP="008064E1">
      <w:pPr>
        <w:spacing w:beforeLines="50" w:before="156" w:afterLines="50" w:after="156" w:line="360" w:lineRule="exact"/>
        <w:rPr>
          <w:rFonts w:asciiTheme="minorEastAsia" w:hAnsiTheme="minorEastAsia"/>
          <w:b/>
          <w:bCs/>
          <w:szCs w:val="21"/>
        </w:rPr>
      </w:pPr>
      <w:r w:rsidRPr="008064E1">
        <w:rPr>
          <w:rFonts w:asciiTheme="minorEastAsia" w:hAnsiTheme="minorEastAsia"/>
          <w:b/>
          <w:bCs/>
          <w:szCs w:val="21"/>
        </w:rPr>
        <w:t>据媒体报道，5月上旬</w:t>
      </w:r>
      <w:proofErr w:type="gramStart"/>
      <w:r w:rsidRPr="008064E1">
        <w:rPr>
          <w:rFonts w:asciiTheme="minorEastAsia" w:hAnsiTheme="minorEastAsia"/>
          <w:b/>
          <w:bCs/>
          <w:szCs w:val="21"/>
        </w:rPr>
        <w:t>一</w:t>
      </w:r>
      <w:proofErr w:type="gramEnd"/>
      <w:r w:rsidRPr="008064E1">
        <w:rPr>
          <w:rFonts w:asciiTheme="minorEastAsia" w:hAnsiTheme="minorEastAsia"/>
          <w:b/>
          <w:bCs/>
          <w:szCs w:val="21"/>
        </w:rPr>
        <w:t>涉案金额达300余亿元的非法集资案在上海黄浦区人民法院一审公开开庭审理，涉案公司及相关责任人被控非法吸收公众存款罪。其中，已被地方政府列入“伪金交所”名单的宜春浩博企业管理咨询有限公司等多家“伪金交所”参与其中，为涉案公司</w:t>
      </w:r>
      <w:proofErr w:type="gramStart"/>
      <w:r w:rsidRPr="008064E1">
        <w:rPr>
          <w:rFonts w:asciiTheme="minorEastAsia" w:hAnsiTheme="minorEastAsia"/>
          <w:b/>
          <w:bCs/>
          <w:szCs w:val="21"/>
        </w:rPr>
        <w:t>的定融理财</w:t>
      </w:r>
      <w:proofErr w:type="gramEnd"/>
      <w:r w:rsidRPr="008064E1">
        <w:rPr>
          <w:rFonts w:asciiTheme="minorEastAsia" w:hAnsiTheme="minorEastAsia"/>
          <w:b/>
          <w:bCs/>
          <w:szCs w:val="21"/>
        </w:rPr>
        <w:t>产品提供备案登记服务。</w:t>
      </w:r>
    </w:p>
    <w:p w14:paraId="78CA3E2D" w14:textId="77777777" w:rsidR="008064E1" w:rsidRPr="008064E1" w:rsidRDefault="008064E1" w:rsidP="008064E1">
      <w:pPr>
        <w:spacing w:beforeLines="50" w:before="156" w:afterLines="50" w:after="156" w:line="360" w:lineRule="exact"/>
        <w:rPr>
          <w:rFonts w:asciiTheme="minorEastAsia" w:hAnsiTheme="minorEastAsia"/>
          <w:b/>
          <w:bCs/>
          <w:szCs w:val="21"/>
        </w:rPr>
      </w:pPr>
      <w:r w:rsidRPr="008064E1">
        <w:rPr>
          <w:rFonts w:asciiTheme="minorEastAsia" w:hAnsiTheme="minorEastAsia"/>
          <w:b/>
          <w:bCs/>
          <w:szCs w:val="21"/>
        </w:rPr>
        <w:t>今后，此类涉“伪金交所”的非法集资案件预计也将有更多进入司法审判环节。</w:t>
      </w:r>
    </w:p>
    <w:p w14:paraId="1596EA87" w14:textId="77777777" w:rsidR="008064E1" w:rsidRDefault="008064E1"/>
    <w:p w14:paraId="5C20F2FB" w14:textId="77777777" w:rsidR="008064E1" w:rsidRDefault="008064E1"/>
    <w:p w14:paraId="336F1401" w14:textId="77777777" w:rsidR="008064E1" w:rsidRDefault="008064E1"/>
    <w:p w14:paraId="137370F6" w14:textId="77777777" w:rsidR="008064E1" w:rsidRDefault="008064E1" w:rsidP="008064E1">
      <w:pPr>
        <w:jc w:val="center"/>
        <w:rPr>
          <w:rFonts w:ascii="华文中宋" w:eastAsia="华文中宋" w:hAnsi="华文中宋"/>
          <w:b/>
          <w:bCs/>
          <w:sz w:val="36"/>
          <w:szCs w:val="36"/>
        </w:rPr>
      </w:pPr>
      <w:r w:rsidRPr="008064E1">
        <w:rPr>
          <w:rFonts w:ascii="华文中宋" w:eastAsia="华文中宋" w:hAnsi="华文中宋"/>
          <w:b/>
          <w:bCs/>
          <w:sz w:val="36"/>
          <w:szCs w:val="36"/>
        </w:rPr>
        <w:t>第四批5家金交所今日被集中取消业务资质</w:t>
      </w:r>
    </w:p>
    <w:p w14:paraId="1E950BE3" w14:textId="77777777" w:rsidR="008064E1" w:rsidRPr="008064E1" w:rsidRDefault="008064E1" w:rsidP="008064E1">
      <w:pPr>
        <w:jc w:val="center"/>
        <w:rPr>
          <w:rFonts w:ascii="华文中宋" w:eastAsia="华文中宋" w:hAnsi="华文中宋" w:hint="eastAsia"/>
          <w:b/>
          <w:bCs/>
          <w:sz w:val="36"/>
          <w:szCs w:val="36"/>
        </w:rPr>
      </w:pPr>
    </w:p>
    <w:p w14:paraId="7E6240A5" w14:textId="77777777" w:rsidR="008064E1" w:rsidRPr="008064E1" w:rsidRDefault="008064E1" w:rsidP="008064E1">
      <w:pPr>
        <w:rPr>
          <w:rFonts w:asciiTheme="minorEastAsia" w:hAnsiTheme="minorEastAsia"/>
          <w:b/>
          <w:bCs/>
        </w:rPr>
      </w:pPr>
      <w:r w:rsidRPr="008064E1">
        <w:rPr>
          <w:rFonts w:asciiTheme="minorEastAsia" w:hAnsiTheme="minorEastAsia"/>
          <w:b/>
          <w:bCs/>
        </w:rPr>
        <w:t>证券时报e公司讯，8月16日下午，江苏、安徽、湖北、贵州、大连等地金融管理部门发文，宣布取消各自辖内共5家金交所的相关业务资质。这5家金交所分别是</w:t>
      </w:r>
      <w:proofErr w:type="gramStart"/>
      <w:r w:rsidRPr="008064E1">
        <w:rPr>
          <w:rFonts w:asciiTheme="minorEastAsia" w:hAnsiTheme="minorEastAsia"/>
          <w:b/>
          <w:bCs/>
        </w:rPr>
        <w:t>江苏金联金融资产</w:t>
      </w:r>
      <w:proofErr w:type="gramEnd"/>
      <w:r w:rsidRPr="008064E1">
        <w:rPr>
          <w:rFonts w:asciiTheme="minorEastAsia" w:hAnsiTheme="minorEastAsia"/>
          <w:b/>
          <w:bCs/>
        </w:rPr>
        <w:t>交易中心、安徽省金融资产交易所、武汉金融资产交易所、贵州金融资产交易所、大连金融资产交易所。据记者了解，这是自今年3月以来，在国家统一安排下第四批集中</w:t>
      </w:r>
      <w:proofErr w:type="gramStart"/>
      <w:r w:rsidRPr="008064E1">
        <w:rPr>
          <w:rFonts w:asciiTheme="minorEastAsia" w:hAnsiTheme="minorEastAsia"/>
          <w:b/>
          <w:bCs/>
        </w:rPr>
        <w:t>取消金</w:t>
      </w:r>
      <w:proofErr w:type="gramEnd"/>
      <w:r w:rsidRPr="008064E1">
        <w:rPr>
          <w:rFonts w:asciiTheme="minorEastAsia" w:hAnsiTheme="minorEastAsia"/>
          <w:b/>
          <w:bCs/>
        </w:rPr>
        <w:t>交所业务资质。此外，上月底，北京金融资产交易所也对外发布了终止地方金融资产交易业务的公告。至此，全国已有26家金交所宣布取消相关业务资质。上述被取消业务资质的金交所，大多数都保留了企业实体，处理后续事宜。根据安排，个别没有宣布</w:t>
      </w:r>
      <w:proofErr w:type="gramStart"/>
      <w:r w:rsidRPr="008064E1">
        <w:rPr>
          <w:rFonts w:asciiTheme="minorEastAsia" w:hAnsiTheme="minorEastAsia"/>
          <w:b/>
          <w:bCs/>
        </w:rPr>
        <w:t>取消金</w:t>
      </w:r>
      <w:proofErr w:type="gramEnd"/>
      <w:r w:rsidRPr="008064E1">
        <w:rPr>
          <w:rFonts w:asciiTheme="minorEastAsia" w:hAnsiTheme="minorEastAsia"/>
          <w:b/>
          <w:bCs/>
        </w:rPr>
        <w:t>交所业务资质的地区今年底前也将完成这项工作。</w:t>
      </w:r>
    </w:p>
    <w:p w14:paraId="2B136439" w14:textId="77777777" w:rsidR="008064E1" w:rsidRPr="008064E1" w:rsidRDefault="008064E1">
      <w:pPr>
        <w:rPr>
          <w:rFonts w:hint="eastAsia"/>
        </w:rPr>
      </w:pPr>
    </w:p>
    <w:sectPr w:rsidR="008064E1" w:rsidRPr="008064E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15A"/>
    <w:rsid w:val="00146FA6"/>
    <w:rsid w:val="001873EA"/>
    <w:rsid w:val="0058615A"/>
    <w:rsid w:val="00700591"/>
    <w:rsid w:val="00806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51BF1"/>
  <w15:chartTrackingRefBased/>
  <w15:docId w15:val="{AFDBF924-7B82-49BE-87E8-E5FDFAFA3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8615A"/>
    <w:pPr>
      <w:keepNext/>
      <w:keepLines/>
      <w:spacing w:before="480" w:after="80"/>
      <w:outlineLvl w:val="0"/>
    </w:pPr>
    <w:rPr>
      <w:rFonts w:asciiTheme="majorHAnsi" w:eastAsiaTheme="majorEastAsia" w:hAnsiTheme="majorHAnsi" w:cstheme="majorBidi"/>
      <w:color w:val="365F91" w:themeColor="accent1" w:themeShade="BF"/>
      <w:sz w:val="48"/>
      <w:szCs w:val="48"/>
    </w:rPr>
  </w:style>
  <w:style w:type="paragraph" w:styleId="2">
    <w:name w:val="heading 2"/>
    <w:basedOn w:val="a"/>
    <w:next w:val="a"/>
    <w:link w:val="20"/>
    <w:uiPriority w:val="9"/>
    <w:semiHidden/>
    <w:unhideWhenUsed/>
    <w:qFormat/>
    <w:rsid w:val="0058615A"/>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0"/>
    <w:uiPriority w:val="9"/>
    <w:semiHidden/>
    <w:unhideWhenUsed/>
    <w:qFormat/>
    <w:rsid w:val="0058615A"/>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58615A"/>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0"/>
    <w:uiPriority w:val="9"/>
    <w:semiHidden/>
    <w:unhideWhenUsed/>
    <w:qFormat/>
    <w:rsid w:val="0058615A"/>
    <w:pPr>
      <w:keepNext/>
      <w:keepLines/>
      <w:spacing w:before="80" w:after="40"/>
      <w:outlineLvl w:val="4"/>
    </w:pPr>
    <w:rPr>
      <w:rFonts w:cstheme="majorBidi"/>
      <w:color w:val="365F91" w:themeColor="accent1" w:themeShade="BF"/>
      <w:sz w:val="24"/>
      <w:szCs w:val="24"/>
    </w:rPr>
  </w:style>
  <w:style w:type="paragraph" w:styleId="6">
    <w:name w:val="heading 6"/>
    <w:basedOn w:val="a"/>
    <w:next w:val="a"/>
    <w:link w:val="60"/>
    <w:uiPriority w:val="9"/>
    <w:semiHidden/>
    <w:unhideWhenUsed/>
    <w:qFormat/>
    <w:rsid w:val="0058615A"/>
    <w:pPr>
      <w:keepNext/>
      <w:keepLines/>
      <w:spacing w:before="40"/>
      <w:outlineLvl w:val="5"/>
    </w:pPr>
    <w:rPr>
      <w:rFonts w:cstheme="majorBidi"/>
      <w:b/>
      <w:bCs/>
      <w:color w:val="365F91" w:themeColor="accent1" w:themeShade="BF"/>
    </w:rPr>
  </w:style>
  <w:style w:type="paragraph" w:styleId="7">
    <w:name w:val="heading 7"/>
    <w:basedOn w:val="a"/>
    <w:next w:val="a"/>
    <w:link w:val="70"/>
    <w:uiPriority w:val="9"/>
    <w:semiHidden/>
    <w:unhideWhenUsed/>
    <w:qFormat/>
    <w:rsid w:val="0058615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58615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58615A"/>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8615A"/>
    <w:rPr>
      <w:rFonts w:asciiTheme="majorHAnsi" w:eastAsiaTheme="majorEastAsia" w:hAnsiTheme="majorHAnsi" w:cstheme="majorBidi"/>
      <w:color w:val="365F91" w:themeColor="accent1" w:themeShade="BF"/>
      <w:sz w:val="48"/>
      <w:szCs w:val="48"/>
    </w:rPr>
  </w:style>
  <w:style w:type="character" w:customStyle="1" w:styleId="20">
    <w:name w:val="标题 2 字符"/>
    <w:basedOn w:val="a0"/>
    <w:link w:val="2"/>
    <w:uiPriority w:val="9"/>
    <w:semiHidden/>
    <w:rsid w:val="0058615A"/>
    <w:rPr>
      <w:rFonts w:asciiTheme="majorHAnsi" w:eastAsiaTheme="majorEastAsia" w:hAnsiTheme="majorHAnsi" w:cstheme="majorBidi"/>
      <w:color w:val="365F91" w:themeColor="accent1" w:themeShade="BF"/>
      <w:sz w:val="40"/>
      <w:szCs w:val="40"/>
    </w:rPr>
  </w:style>
  <w:style w:type="character" w:customStyle="1" w:styleId="30">
    <w:name w:val="标题 3 字符"/>
    <w:basedOn w:val="a0"/>
    <w:link w:val="3"/>
    <w:uiPriority w:val="9"/>
    <w:semiHidden/>
    <w:rsid w:val="0058615A"/>
    <w:rPr>
      <w:rFonts w:asciiTheme="majorHAnsi" w:eastAsiaTheme="majorEastAsia" w:hAnsiTheme="majorHAnsi" w:cstheme="majorBidi"/>
      <w:color w:val="365F91" w:themeColor="accent1" w:themeShade="BF"/>
      <w:sz w:val="32"/>
      <w:szCs w:val="32"/>
    </w:rPr>
  </w:style>
  <w:style w:type="character" w:customStyle="1" w:styleId="40">
    <w:name w:val="标题 4 字符"/>
    <w:basedOn w:val="a0"/>
    <w:link w:val="4"/>
    <w:uiPriority w:val="9"/>
    <w:semiHidden/>
    <w:rsid w:val="0058615A"/>
    <w:rPr>
      <w:rFonts w:cstheme="majorBidi"/>
      <w:color w:val="365F91" w:themeColor="accent1" w:themeShade="BF"/>
      <w:sz w:val="28"/>
      <w:szCs w:val="28"/>
    </w:rPr>
  </w:style>
  <w:style w:type="character" w:customStyle="1" w:styleId="50">
    <w:name w:val="标题 5 字符"/>
    <w:basedOn w:val="a0"/>
    <w:link w:val="5"/>
    <w:uiPriority w:val="9"/>
    <w:semiHidden/>
    <w:rsid w:val="0058615A"/>
    <w:rPr>
      <w:rFonts w:cstheme="majorBidi"/>
      <w:color w:val="365F91" w:themeColor="accent1" w:themeShade="BF"/>
      <w:sz w:val="24"/>
      <w:szCs w:val="24"/>
    </w:rPr>
  </w:style>
  <w:style w:type="character" w:customStyle="1" w:styleId="60">
    <w:name w:val="标题 6 字符"/>
    <w:basedOn w:val="a0"/>
    <w:link w:val="6"/>
    <w:uiPriority w:val="9"/>
    <w:semiHidden/>
    <w:rsid w:val="0058615A"/>
    <w:rPr>
      <w:rFonts w:cstheme="majorBidi"/>
      <w:b/>
      <w:bCs/>
      <w:color w:val="365F91" w:themeColor="accent1" w:themeShade="BF"/>
    </w:rPr>
  </w:style>
  <w:style w:type="character" w:customStyle="1" w:styleId="70">
    <w:name w:val="标题 7 字符"/>
    <w:basedOn w:val="a0"/>
    <w:link w:val="7"/>
    <w:uiPriority w:val="9"/>
    <w:semiHidden/>
    <w:rsid w:val="0058615A"/>
    <w:rPr>
      <w:rFonts w:cstheme="majorBidi"/>
      <w:b/>
      <w:bCs/>
      <w:color w:val="595959" w:themeColor="text1" w:themeTint="A6"/>
    </w:rPr>
  </w:style>
  <w:style w:type="character" w:customStyle="1" w:styleId="80">
    <w:name w:val="标题 8 字符"/>
    <w:basedOn w:val="a0"/>
    <w:link w:val="8"/>
    <w:uiPriority w:val="9"/>
    <w:semiHidden/>
    <w:rsid w:val="0058615A"/>
    <w:rPr>
      <w:rFonts w:cstheme="majorBidi"/>
      <w:color w:val="595959" w:themeColor="text1" w:themeTint="A6"/>
    </w:rPr>
  </w:style>
  <w:style w:type="character" w:customStyle="1" w:styleId="90">
    <w:name w:val="标题 9 字符"/>
    <w:basedOn w:val="a0"/>
    <w:link w:val="9"/>
    <w:uiPriority w:val="9"/>
    <w:semiHidden/>
    <w:rsid w:val="0058615A"/>
    <w:rPr>
      <w:rFonts w:eastAsiaTheme="majorEastAsia" w:cstheme="majorBidi"/>
      <w:color w:val="595959" w:themeColor="text1" w:themeTint="A6"/>
    </w:rPr>
  </w:style>
  <w:style w:type="paragraph" w:styleId="a3">
    <w:name w:val="Title"/>
    <w:basedOn w:val="a"/>
    <w:next w:val="a"/>
    <w:link w:val="a4"/>
    <w:uiPriority w:val="10"/>
    <w:qFormat/>
    <w:rsid w:val="0058615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8615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8615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8615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8615A"/>
    <w:pPr>
      <w:spacing w:before="160" w:after="160"/>
      <w:jc w:val="center"/>
    </w:pPr>
    <w:rPr>
      <w:i/>
      <w:iCs/>
      <w:color w:val="404040" w:themeColor="text1" w:themeTint="BF"/>
    </w:rPr>
  </w:style>
  <w:style w:type="character" w:customStyle="1" w:styleId="a8">
    <w:name w:val="引用 字符"/>
    <w:basedOn w:val="a0"/>
    <w:link w:val="a7"/>
    <w:uiPriority w:val="29"/>
    <w:rsid w:val="0058615A"/>
    <w:rPr>
      <w:i/>
      <w:iCs/>
      <w:color w:val="404040" w:themeColor="text1" w:themeTint="BF"/>
    </w:rPr>
  </w:style>
  <w:style w:type="paragraph" w:styleId="a9">
    <w:name w:val="List Paragraph"/>
    <w:basedOn w:val="a"/>
    <w:uiPriority w:val="34"/>
    <w:qFormat/>
    <w:rsid w:val="0058615A"/>
    <w:pPr>
      <w:ind w:left="720"/>
      <w:contextualSpacing/>
    </w:pPr>
  </w:style>
  <w:style w:type="character" w:styleId="aa">
    <w:name w:val="Intense Emphasis"/>
    <w:basedOn w:val="a0"/>
    <w:uiPriority w:val="21"/>
    <w:qFormat/>
    <w:rsid w:val="0058615A"/>
    <w:rPr>
      <w:i/>
      <w:iCs/>
      <w:color w:val="365F91" w:themeColor="accent1" w:themeShade="BF"/>
    </w:rPr>
  </w:style>
  <w:style w:type="paragraph" w:styleId="ab">
    <w:name w:val="Intense Quote"/>
    <w:basedOn w:val="a"/>
    <w:next w:val="a"/>
    <w:link w:val="ac"/>
    <w:uiPriority w:val="30"/>
    <w:qFormat/>
    <w:rsid w:val="0058615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c">
    <w:name w:val="明显引用 字符"/>
    <w:basedOn w:val="a0"/>
    <w:link w:val="ab"/>
    <w:uiPriority w:val="30"/>
    <w:rsid w:val="0058615A"/>
    <w:rPr>
      <w:i/>
      <w:iCs/>
      <w:color w:val="365F91" w:themeColor="accent1" w:themeShade="BF"/>
    </w:rPr>
  </w:style>
  <w:style w:type="character" w:styleId="ad">
    <w:name w:val="Intense Reference"/>
    <w:basedOn w:val="a0"/>
    <w:uiPriority w:val="32"/>
    <w:qFormat/>
    <w:rsid w:val="0058615A"/>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75256">
      <w:bodyDiv w:val="1"/>
      <w:marLeft w:val="0"/>
      <w:marRight w:val="0"/>
      <w:marTop w:val="0"/>
      <w:marBottom w:val="0"/>
      <w:divBdr>
        <w:top w:val="none" w:sz="0" w:space="0" w:color="auto"/>
        <w:left w:val="none" w:sz="0" w:space="0" w:color="auto"/>
        <w:bottom w:val="none" w:sz="0" w:space="0" w:color="auto"/>
        <w:right w:val="none" w:sz="0" w:space="0" w:color="auto"/>
      </w:divBdr>
      <w:divsChild>
        <w:div w:id="1291787200">
          <w:marLeft w:val="0"/>
          <w:marRight w:val="0"/>
          <w:marTop w:val="0"/>
          <w:marBottom w:val="0"/>
          <w:divBdr>
            <w:top w:val="none" w:sz="0" w:space="0" w:color="auto"/>
            <w:left w:val="none" w:sz="0" w:space="0" w:color="auto"/>
            <w:bottom w:val="none" w:sz="0" w:space="0" w:color="auto"/>
            <w:right w:val="none" w:sz="0" w:space="0" w:color="auto"/>
          </w:divBdr>
        </w:div>
        <w:div w:id="393938708">
          <w:marLeft w:val="0"/>
          <w:marRight w:val="0"/>
          <w:marTop w:val="225"/>
          <w:marBottom w:val="0"/>
          <w:divBdr>
            <w:top w:val="none" w:sz="0" w:space="0" w:color="auto"/>
            <w:left w:val="none" w:sz="0" w:space="0" w:color="auto"/>
            <w:bottom w:val="none" w:sz="0" w:space="0" w:color="auto"/>
            <w:right w:val="none" w:sz="0" w:space="0" w:color="auto"/>
          </w:divBdr>
        </w:div>
        <w:div w:id="1686594237">
          <w:marLeft w:val="0"/>
          <w:marRight w:val="0"/>
          <w:marTop w:val="0"/>
          <w:marBottom w:val="0"/>
          <w:divBdr>
            <w:top w:val="none" w:sz="0" w:space="0" w:color="auto"/>
            <w:left w:val="none" w:sz="0" w:space="0" w:color="auto"/>
            <w:bottom w:val="none" w:sz="0" w:space="0" w:color="auto"/>
            <w:right w:val="none" w:sz="0" w:space="0" w:color="auto"/>
          </w:divBdr>
          <w:divsChild>
            <w:div w:id="217132265">
              <w:marLeft w:val="0"/>
              <w:marRight w:val="0"/>
              <w:marTop w:val="0"/>
              <w:marBottom w:val="300"/>
              <w:divBdr>
                <w:top w:val="none" w:sz="0" w:space="0" w:color="auto"/>
                <w:left w:val="none" w:sz="0" w:space="0" w:color="auto"/>
                <w:bottom w:val="none" w:sz="0" w:space="0" w:color="auto"/>
                <w:right w:val="none" w:sz="0" w:space="0" w:color="auto"/>
              </w:divBdr>
            </w:div>
            <w:div w:id="2002082131">
              <w:marLeft w:val="0"/>
              <w:marRight w:val="0"/>
              <w:marTop w:val="0"/>
              <w:marBottom w:val="300"/>
              <w:divBdr>
                <w:top w:val="none" w:sz="0" w:space="0" w:color="auto"/>
                <w:left w:val="none" w:sz="0" w:space="0" w:color="auto"/>
                <w:bottom w:val="none" w:sz="0" w:space="0" w:color="auto"/>
                <w:right w:val="none" w:sz="0" w:space="0" w:color="auto"/>
              </w:divBdr>
            </w:div>
            <w:div w:id="178214413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375282729">
      <w:bodyDiv w:val="1"/>
      <w:marLeft w:val="0"/>
      <w:marRight w:val="0"/>
      <w:marTop w:val="0"/>
      <w:marBottom w:val="0"/>
      <w:divBdr>
        <w:top w:val="none" w:sz="0" w:space="0" w:color="auto"/>
        <w:left w:val="none" w:sz="0" w:space="0" w:color="auto"/>
        <w:bottom w:val="none" w:sz="0" w:space="0" w:color="auto"/>
        <w:right w:val="none" w:sz="0" w:space="0" w:color="auto"/>
      </w:divBdr>
      <w:divsChild>
        <w:div w:id="1294363996">
          <w:marLeft w:val="0"/>
          <w:marRight w:val="0"/>
          <w:marTop w:val="0"/>
          <w:marBottom w:val="0"/>
          <w:divBdr>
            <w:top w:val="none" w:sz="0" w:space="0" w:color="auto"/>
            <w:left w:val="none" w:sz="0" w:space="0" w:color="auto"/>
            <w:bottom w:val="none" w:sz="0" w:space="0" w:color="auto"/>
            <w:right w:val="none" w:sz="0" w:space="0" w:color="auto"/>
          </w:divBdr>
        </w:div>
        <w:div w:id="2100173084">
          <w:marLeft w:val="0"/>
          <w:marRight w:val="0"/>
          <w:marTop w:val="225"/>
          <w:marBottom w:val="0"/>
          <w:divBdr>
            <w:top w:val="none" w:sz="0" w:space="0" w:color="auto"/>
            <w:left w:val="none" w:sz="0" w:space="0" w:color="auto"/>
            <w:bottom w:val="none" w:sz="0" w:space="0" w:color="auto"/>
            <w:right w:val="none" w:sz="0" w:space="0" w:color="auto"/>
          </w:divBdr>
        </w:div>
        <w:div w:id="1057239878">
          <w:marLeft w:val="0"/>
          <w:marRight w:val="0"/>
          <w:marTop w:val="0"/>
          <w:marBottom w:val="0"/>
          <w:divBdr>
            <w:top w:val="none" w:sz="0" w:space="0" w:color="auto"/>
            <w:left w:val="none" w:sz="0" w:space="0" w:color="auto"/>
            <w:bottom w:val="none" w:sz="0" w:space="0" w:color="auto"/>
            <w:right w:val="none" w:sz="0" w:space="0" w:color="auto"/>
          </w:divBdr>
          <w:divsChild>
            <w:div w:id="1414662461">
              <w:marLeft w:val="0"/>
              <w:marRight w:val="0"/>
              <w:marTop w:val="0"/>
              <w:marBottom w:val="300"/>
              <w:divBdr>
                <w:top w:val="none" w:sz="0" w:space="0" w:color="auto"/>
                <w:left w:val="none" w:sz="0" w:space="0" w:color="auto"/>
                <w:bottom w:val="none" w:sz="0" w:space="0" w:color="auto"/>
                <w:right w:val="none" w:sz="0" w:space="0" w:color="auto"/>
              </w:divBdr>
            </w:div>
            <w:div w:id="2039575410">
              <w:marLeft w:val="0"/>
              <w:marRight w:val="0"/>
              <w:marTop w:val="0"/>
              <w:marBottom w:val="300"/>
              <w:divBdr>
                <w:top w:val="none" w:sz="0" w:space="0" w:color="auto"/>
                <w:left w:val="none" w:sz="0" w:space="0" w:color="auto"/>
                <w:bottom w:val="none" w:sz="0" w:space="0" w:color="auto"/>
                <w:right w:val="none" w:sz="0" w:space="0" w:color="auto"/>
              </w:divBdr>
            </w:div>
            <w:div w:id="25456036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664404862">
      <w:bodyDiv w:val="1"/>
      <w:marLeft w:val="0"/>
      <w:marRight w:val="0"/>
      <w:marTop w:val="0"/>
      <w:marBottom w:val="0"/>
      <w:divBdr>
        <w:top w:val="none" w:sz="0" w:space="0" w:color="auto"/>
        <w:left w:val="none" w:sz="0" w:space="0" w:color="auto"/>
        <w:bottom w:val="none" w:sz="0" w:space="0" w:color="auto"/>
        <w:right w:val="none" w:sz="0" w:space="0" w:color="auto"/>
      </w:divBdr>
      <w:divsChild>
        <w:div w:id="1250654532">
          <w:marLeft w:val="0"/>
          <w:marRight w:val="0"/>
          <w:marTop w:val="0"/>
          <w:marBottom w:val="0"/>
          <w:divBdr>
            <w:top w:val="none" w:sz="0" w:space="0" w:color="auto"/>
            <w:left w:val="none" w:sz="0" w:space="0" w:color="auto"/>
            <w:bottom w:val="none" w:sz="0" w:space="0" w:color="auto"/>
            <w:right w:val="none" w:sz="0" w:space="0" w:color="auto"/>
          </w:divBdr>
        </w:div>
        <w:div w:id="1446803326">
          <w:marLeft w:val="0"/>
          <w:marRight w:val="0"/>
          <w:marTop w:val="225"/>
          <w:marBottom w:val="0"/>
          <w:divBdr>
            <w:top w:val="none" w:sz="0" w:space="0" w:color="auto"/>
            <w:left w:val="none" w:sz="0" w:space="0" w:color="auto"/>
            <w:bottom w:val="none" w:sz="0" w:space="0" w:color="auto"/>
            <w:right w:val="none" w:sz="0" w:space="0" w:color="auto"/>
          </w:divBdr>
        </w:div>
        <w:div w:id="870528879">
          <w:marLeft w:val="0"/>
          <w:marRight w:val="0"/>
          <w:marTop w:val="0"/>
          <w:marBottom w:val="0"/>
          <w:divBdr>
            <w:top w:val="none" w:sz="0" w:space="0" w:color="auto"/>
            <w:left w:val="none" w:sz="0" w:space="0" w:color="auto"/>
            <w:bottom w:val="none" w:sz="0" w:space="0" w:color="auto"/>
            <w:right w:val="none" w:sz="0" w:space="0" w:color="auto"/>
          </w:divBdr>
          <w:divsChild>
            <w:div w:id="1030645026">
              <w:marLeft w:val="0"/>
              <w:marRight w:val="0"/>
              <w:marTop w:val="0"/>
              <w:marBottom w:val="300"/>
              <w:divBdr>
                <w:top w:val="none" w:sz="0" w:space="0" w:color="auto"/>
                <w:left w:val="none" w:sz="0" w:space="0" w:color="auto"/>
                <w:bottom w:val="none" w:sz="0" w:space="0" w:color="auto"/>
                <w:right w:val="none" w:sz="0" w:space="0" w:color="auto"/>
              </w:divBdr>
            </w:div>
            <w:div w:id="2015524166">
              <w:marLeft w:val="0"/>
              <w:marRight w:val="0"/>
              <w:marTop w:val="0"/>
              <w:marBottom w:val="300"/>
              <w:divBdr>
                <w:top w:val="none" w:sz="0" w:space="0" w:color="auto"/>
                <w:left w:val="none" w:sz="0" w:space="0" w:color="auto"/>
                <w:bottom w:val="none" w:sz="0" w:space="0" w:color="auto"/>
                <w:right w:val="none" w:sz="0" w:space="0" w:color="auto"/>
              </w:divBdr>
            </w:div>
            <w:div w:id="97553205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909314439">
      <w:bodyDiv w:val="1"/>
      <w:marLeft w:val="0"/>
      <w:marRight w:val="0"/>
      <w:marTop w:val="0"/>
      <w:marBottom w:val="0"/>
      <w:divBdr>
        <w:top w:val="none" w:sz="0" w:space="0" w:color="auto"/>
        <w:left w:val="none" w:sz="0" w:space="0" w:color="auto"/>
        <w:bottom w:val="none" w:sz="0" w:space="0" w:color="auto"/>
        <w:right w:val="none" w:sz="0" w:space="0" w:color="auto"/>
      </w:divBdr>
      <w:divsChild>
        <w:div w:id="825705306">
          <w:marLeft w:val="0"/>
          <w:marRight w:val="0"/>
          <w:marTop w:val="0"/>
          <w:marBottom w:val="0"/>
          <w:divBdr>
            <w:top w:val="none" w:sz="0" w:space="0" w:color="auto"/>
            <w:left w:val="none" w:sz="0" w:space="0" w:color="auto"/>
            <w:bottom w:val="none" w:sz="0" w:space="0" w:color="auto"/>
            <w:right w:val="none" w:sz="0" w:space="0" w:color="auto"/>
          </w:divBdr>
        </w:div>
        <w:div w:id="1619336065">
          <w:marLeft w:val="0"/>
          <w:marRight w:val="0"/>
          <w:marTop w:val="225"/>
          <w:marBottom w:val="0"/>
          <w:divBdr>
            <w:top w:val="none" w:sz="0" w:space="0" w:color="auto"/>
            <w:left w:val="none" w:sz="0" w:space="0" w:color="auto"/>
            <w:bottom w:val="none" w:sz="0" w:space="0" w:color="auto"/>
            <w:right w:val="none" w:sz="0" w:space="0" w:color="auto"/>
          </w:divBdr>
        </w:div>
        <w:div w:id="1782530007">
          <w:marLeft w:val="0"/>
          <w:marRight w:val="0"/>
          <w:marTop w:val="0"/>
          <w:marBottom w:val="0"/>
          <w:divBdr>
            <w:top w:val="none" w:sz="0" w:space="0" w:color="auto"/>
            <w:left w:val="none" w:sz="0" w:space="0" w:color="auto"/>
            <w:bottom w:val="none" w:sz="0" w:space="0" w:color="auto"/>
            <w:right w:val="none" w:sz="0" w:space="0" w:color="auto"/>
          </w:divBdr>
          <w:divsChild>
            <w:div w:id="1011833037">
              <w:marLeft w:val="0"/>
              <w:marRight w:val="0"/>
              <w:marTop w:val="0"/>
              <w:marBottom w:val="300"/>
              <w:divBdr>
                <w:top w:val="none" w:sz="0" w:space="0" w:color="auto"/>
                <w:left w:val="none" w:sz="0" w:space="0" w:color="auto"/>
                <w:bottom w:val="none" w:sz="0" w:space="0" w:color="auto"/>
                <w:right w:val="none" w:sz="0" w:space="0" w:color="auto"/>
              </w:divBdr>
            </w:div>
            <w:div w:id="1192841725">
              <w:marLeft w:val="0"/>
              <w:marRight w:val="0"/>
              <w:marTop w:val="0"/>
              <w:marBottom w:val="300"/>
              <w:divBdr>
                <w:top w:val="none" w:sz="0" w:space="0" w:color="auto"/>
                <w:left w:val="none" w:sz="0" w:space="0" w:color="auto"/>
                <w:bottom w:val="none" w:sz="0" w:space="0" w:color="auto"/>
                <w:right w:val="none" w:sz="0" w:space="0" w:color="auto"/>
              </w:divBdr>
            </w:div>
            <w:div w:id="200678246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306089093">
      <w:bodyDiv w:val="1"/>
      <w:marLeft w:val="0"/>
      <w:marRight w:val="0"/>
      <w:marTop w:val="0"/>
      <w:marBottom w:val="0"/>
      <w:divBdr>
        <w:top w:val="none" w:sz="0" w:space="0" w:color="auto"/>
        <w:left w:val="none" w:sz="0" w:space="0" w:color="auto"/>
        <w:bottom w:val="none" w:sz="0" w:space="0" w:color="auto"/>
        <w:right w:val="none" w:sz="0" w:space="0" w:color="auto"/>
      </w:divBdr>
      <w:divsChild>
        <w:div w:id="650866148">
          <w:marLeft w:val="0"/>
          <w:marRight w:val="0"/>
          <w:marTop w:val="0"/>
          <w:marBottom w:val="0"/>
          <w:divBdr>
            <w:top w:val="none" w:sz="0" w:space="0" w:color="auto"/>
            <w:left w:val="none" w:sz="0" w:space="0" w:color="auto"/>
            <w:bottom w:val="none" w:sz="0" w:space="0" w:color="auto"/>
            <w:right w:val="none" w:sz="0" w:space="0" w:color="auto"/>
          </w:divBdr>
        </w:div>
        <w:div w:id="2144233514">
          <w:marLeft w:val="0"/>
          <w:marRight w:val="0"/>
          <w:marTop w:val="225"/>
          <w:marBottom w:val="0"/>
          <w:divBdr>
            <w:top w:val="none" w:sz="0" w:space="0" w:color="auto"/>
            <w:left w:val="none" w:sz="0" w:space="0" w:color="auto"/>
            <w:bottom w:val="none" w:sz="0" w:space="0" w:color="auto"/>
            <w:right w:val="none" w:sz="0" w:space="0" w:color="auto"/>
          </w:divBdr>
        </w:div>
        <w:div w:id="453444540">
          <w:marLeft w:val="0"/>
          <w:marRight w:val="0"/>
          <w:marTop w:val="0"/>
          <w:marBottom w:val="0"/>
          <w:divBdr>
            <w:top w:val="none" w:sz="0" w:space="0" w:color="auto"/>
            <w:left w:val="none" w:sz="0" w:space="0" w:color="auto"/>
            <w:bottom w:val="none" w:sz="0" w:space="0" w:color="auto"/>
            <w:right w:val="none" w:sz="0" w:space="0" w:color="auto"/>
          </w:divBdr>
          <w:divsChild>
            <w:div w:id="1138455320">
              <w:marLeft w:val="0"/>
              <w:marRight w:val="0"/>
              <w:marTop w:val="0"/>
              <w:marBottom w:val="300"/>
              <w:divBdr>
                <w:top w:val="none" w:sz="0" w:space="0" w:color="auto"/>
                <w:left w:val="none" w:sz="0" w:space="0" w:color="auto"/>
                <w:bottom w:val="none" w:sz="0" w:space="0" w:color="auto"/>
                <w:right w:val="none" w:sz="0" w:space="0" w:color="auto"/>
              </w:divBdr>
            </w:div>
            <w:div w:id="321739493">
              <w:marLeft w:val="0"/>
              <w:marRight w:val="0"/>
              <w:marTop w:val="0"/>
              <w:marBottom w:val="300"/>
              <w:divBdr>
                <w:top w:val="none" w:sz="0" w:space="0" w:color="auto"/>
                <w:left w:val="none" w:sz="0" w:space="0" w:color="auto"/>
                <w:bottom w:val="none" w:sz="0" w:space="0" w:color="auto"/>
                <w:right w:val="none" w:sz="0" w:space="0" w:color="auto"/>
              </w:divBdr>
            </w:div>
            <w:div w:id="44453960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543711440">
      <w:bodyDiv w:val="1"/>
      <w:marLeft w:val="0"/>
      <w:marRight w:val="0"/>
      <w:marTop w:val="0"/>
      <w:marBottom w:val="0"/>
      <w:divBdr>
        <w:top w:val="none" w:sz="0" w:space="0" w:color="auto"/>
        <w:left w:val="none" w:sz="0" w:space="0" w:color="auto"/>
        <w:bottom w:val="none" w:sz="0" w:space="0" w:color="auto"/>
        <w:right w:val="none" w:sz="0" w:space="0" w:color="auto"/>
      </w:divBdr>
      <w:divsChild>
        <w:div w:id="1529492732">
          <w:marLeft w:val="0"/>
          <w:marRight w:val="0"/>
          <w:marTop w:val="0"/>
          <w:marBottom w:val="0"/>
          <w:divBdr>
            <w:top w:val="none" w:sz="0" w:space="0" w:color="auto"/>
            <w:left w:val="none" w:sz="0" w:space="0" w:color="auto"/>
            <w:bottom w:val="none" w:sz="0" w:space="0" w:color="auto"/>
            <w:right w:val="none" w:sz="0" w:space="0" w:color="auto"/>
          </w:divBdr>
        </w:div>
        <w:div w:id="1321734063">
          <w:marLeft w:val="0"/>
          <w:marRight w:val="0"/>
          <w:marTop w:val="225"/>
          <w:marBottom w:val="0"/>
          <w:divBdr>
            <w:top w:val="none" w:sz="0" w:space="0" w:color="auto"/>
            <w:left w:val="none" w:sz="0" w:space="0" w:color="auto"/>
            <w:bottom w:val="none" w:sz="0" w:space="0" w:color="auto"/>
            <w:right w:val="none" w:sz="0" w:space="0" w:color="auto"/>
          </w:divBdr>
        </w:div>
        <w:div w:id="706029379">
          <w:marLeft w:val="0"/>
          <w:marRight w:val="0"/>
          <w:marTop w:val="0"/>
          <w:marBottom w:val="0"/>
          <w:divBdr>
            <w:top w:val="none" w:sz="0" w:space="0" w:color="auto"/>
            <w:left w:val="none" w:sz="0" w:space="0" w:color="auto"/>
            <w:bottom w:val="none" w:sz="0" w:space="0" w:color="auto"/>
            <w:right w:val="none" w:sz="0" w:space="0" w:color="auto"/>
          </w:divBdr>
          <w:divsChild>
            <w:div w:id="1217660576">
              <w:marLeft w:val="0"/>
              <w:marRight w:val="0"/>
              <w:marTop w:val="0"/>
              <w:marBottom w:val="300"/>
              <w:divBdr>
                <w:top w:val="none" w:sz="0" w:space="0" w:color="auto"/>
                <w:left w:val="none" w:sz="0" w:space="0" w:color="auto"/>
                <w:bottom w:val="none" w:sz="0" w:space="0" w:color="auto"/>
                <w:right w:val="none" w:sz="0" w:space="0" w:color="auto"/>
              </w:divBdr>
            </w:div>
            <w:div w:id="958949809">
              <w:marLeft w:val="0"/>
              <w:marRight w:val="0"/>
              <w:marTop w:val="0"/>
              <w:marBottom w:val="300"/>
              <w:divBdr>
                <w:top w:val="none" w:sz="0" w:space="0" w:color="auto"/>
                <w:left w:val="none" w:sz="0" w:space="0" w:color="auto"/>
                <w:bottom w:val="none" w:sz="0" w:space="0" w:color="auto"/>
                <w:right w:val="none" w:sz="0" w:space="0" w:color="auto"/>
              </w:divBdr>
            </w:div>
            <w:div w:id="154783217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628269736">
      <w:bodyDiv w:val="1"/>
      <w:marLeft w:val="0"/>
      <w:marRight w:val="0"/>
      <w:marTop w:val="0"/>
      <w:marBottom w:val="0"/>
      <w:divBdr>
        <w:top w:val="none" w:sz="0" w:space="0" w:color="auto"/>
        <w:left w:val="none" w:sz="0" w:space="0" w:color="auto"/>
        <w:bottom w:val="none" w:sz="0" w:space="0" w:color="auto"/>
        <w:right w:val="none" w:sz="0" w:space="0" w:color="auto"/>
      </w:divBdr>
      <w:divsChild>
        <w:div w:id="652224498">
          <w:marLeft w:val="0"/>
          <w:marRight w:val="0"/>
          <w:marTop w:val="0"/>
          <w:marBottom w:val="0"/>
          <w:divBdr>
            <w:top w:val="none" w:sz="0" w:space="0" w:color="auto"/>
            <w:left w:val="none" w:sz="0" w:space="0" w:color="auto"/>
            <w:bottom w:val="none" w:sz="0" w:space="0" w:color="auto"/>
            <w:right w:val="none" w:sz="0" w:space="0" w:color="auto"/>
          </w:divBdr>
        </w:div>
        <w:div w:id="1880193271">
          <w:marLeft w:val="0"/>
          <w:marRight w:val="0"/>
          <w:marTop w:val="225"/>
          <w:marBottom w:val="0"/>
          <w:divBdr>
            <w:top w:val="none" w:sz="0" w:space="0" w:color="auto"/>
            <w:left w:val="none" w:sz="0" w:space="0" w:color="auto"/>
            <w:bottom w:val="none" w:sz="0" w:space="0" w:color="auto"/>
            <w:right w:val="none" w:sz="0" w:space="0" w:color="auto"/>
          </w:divBdr>
        </w:div>
        <w:div w:id="1716662965">
          <w:marLeft w:val="0"/>
          <w:marRight w:val="0"/>
          <w:marTop w:val="0"/>
          <w:marBottom w:val="0"/>
          <w:divBdr>
            <w:top w:val="none" w:sz="0" w:space="0" w:color="auto"/>
            <w:left w:val="none" w:sz="0" w:space="0" w:color="auto"/>
            <w:bottom w:val="none" w:sz="0" w:space="0" w:color="auto"/>
            <w:right w:val="none" w:sz="0" w:space="0" w:color="auto"/>
          </w:divBdr>
          <w:divsChild>
            <w:div w:id="1365593107">
              <w:marLeft w:val="0"/>
              <w:marRight w:val="0"/>
              <w:marTop w:val="0"/>
              <w:marBottom w:val="300"/>
              <w:divBdr>
                <w:top w:val="none" w:sz="0" w:space="0" w:color="auto"/>
                <w:left w:val="none" w:sz="0" w:space="0" w:color="auto"/>
                <w:bottom w:val="none" w:sz="0" w:space="0" w:color="auto"/>
                <w:right w:val="none" w:sz="0" w:space="0" w:color="auto"/>
              </w:divBdr>
            </w:div>
            <w:div w:id="208106514">
              <w:marLeft w:val="0"/>
              <w:marRight w:val="0"/>
              <w:marTop w:val="0"/>
              <w:marBottom w:val="300"/>
              <w:divBdr>
                <w:top w:val="none" w:sz="0" w:space="0" w:color="auto"/>
                <w:left w:val="none" w:sz="0" w:space="0" w:color="auto"/>
                <w:bottom w:val="none" w:sz="0" w:space="0" w:color="auto"/>
                <w:right w:val="none" w:sz="0" w:space="0" w:color="auto"/>
              </w:divBdr>
            </w:div>
            <w:div w:id="194145380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2003851158">
      <w:bodyDiv w:val="1"/>
      <w:marLeft w:val="0"/>
      <w:marRight w:val="0"/>
      <w:marTop w:val="0"/>
      <w:marBottom w:val="0"/>
      <w:divBdr>
        <w:top w:val="none" w:sz="0" w:space="0" w:color="auto"/>
        <w:left w:val="none" w:sz="0" w:space="0" w:color="auto"/>
        <w:bottom w:val="none" w:sz="0" w:space="0" w:color="auto"/>
        <w:right w:val="none" w:sz="0" w:space="0" w:color="auto"/>
      </w:divBdr>
      <w:divsChild>
        <w:div w:id="1431583731">
          <w:marLeft w:val="0"/>
          <w:marRight w:val="0"/>
          <w:marTop w:val="0"/>
          <w:marBottom w:val="0"/>
          <w:divBdr>
            <w:top w:val="none" w:sz="0" w:space="0" w:color="auto"/>
            <w:left w:val="none" w:sz="0" w:space="0" w:color="auto"/>
            <w:bottom w:val="none" w:sz="0" w:space="0" w:color="auto"/>
            <w:right w:val="none" w:sz="0" w:space="0" w:color="auto"/>
          </w:divBdr>
        </w:div>
        <w:div w:id="1876890207">
          <w:marLeft w:val="0"/>
          <w:marRight w:val="0"/>
          <w:marTop w:val="225"/>
          <w:marBottom w:val="0"/>
          <w:divBdr>
            <w:top w:val="none" w:sz="0" w:space="0" w:color="auto"/>
            <w:left w:val="none" w:sz="0" w:space="0" w:color="auto"/>
            <w:bottom w:val="none" w:sz="0" w:space="0" w:color="auto"/>
            <w:right w:val="none" w:sz="0" w:space="0" w:color="auto"/>
          </w:divBdr>
        </w:div>
        <w:div w:id="1280601162">
          <w:marLeft w:val="0"/>
          <w:marRight w:val="0"/>
          <w:marTop w:val="0"/>
          <w:marBottom w:val="0"/>
          <w:divBdr>
            <w:top w:val="none" w:sz="0" w:space="0" w:color="auto"/>
            <w:left w:val="none" w:sz="0" w:space="0" w:color="auto"/>
            <w:bottom w:val="none" w:sz="0" w:space="0" w:color="auto"/>
            <w:right w:val="none" w:sz="0" w:space="0" w:color="auto"/>
          </w:divBdr>
          <w:divsChild>
            <w:div w:id="1247573170">
              <w:marLeft w:val="0"/>
              <w:marRight w:val="0"/>
              <w:marTop w:val="0"/>
              <w:marBottom w:val="300"/>
              <w:divBdr>
                <w:top w:val="none" w:sz="0" w:space="0" w:color="auto"/>
                <w:left w:val="none" w:sz="0" w:space="0" w:color="auto"/>
                <w:bottom w:val="none" w:sz="0" w:space="0" w:color="auto"/>
                <w:right w:val="none" w:sz="0" w:space="0" w:color="auto"/>
              </w:divBdr>
            </w:div>
            <w:div w:id="2093771200">
              <w:marLeft w:val="0"/>
              <w:marRight w:val="0"/>
              <w:marTop w:val="0"/>
              <w:marBottom w:val="300"/>
              <w:divBdr>
                <w:top w:val="none" w:sz="0" w:space="0" w:color="auto"/>
                <w:left w:val="none" w:sz="0" w:space="0" w:color="auto"/>
                <w:bottom w:val="none" w:sz="0" w:space="0" w:color="auto"/>
                <w:right w:val="none" w:sz="0" w:space="0" w:color="auto"/>
              </w:divBdr>
            </w:div>
            <w:div w:id="3266092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1559</Words>
  <Characters>8890</Characters>
  <Application>Microsoft Office Word</Application>
  <DocSecurity>0</DocSecurity>
  <Lines>74</Lines>
  <Paragraphs>20</Paragraphs>
  <ScaleCrop>false</ScaleCrop>
  <Company/>
  <LinksUpToDate>false</LinksUpToDate>
  <CharactersWithSpaces>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牧 田</dc:creator>
  <cp:keywords/>
  <dc:description/>
  <cp:lastModifiedBy>牧 田</cp:lastModifiedBy>
  <cp:revision>1</cp:revision>
  <dcterms:created xsi:type="dcterms:W3CDTF">2025-05-07T00:53:00Z</dcterms:created>
  <dcterms:modified xsi:type="dcterms:W3CDTF">2025-05-07T01:33:00Z</dcterms:modified>
</cp:coreProperties>
</file>