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</w:t>
      </w:r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1134" w:type="dxa"/>
            <w:vAlign w:val="center"/>
          </w:tcPr>
          <w:p w14:paraId="3D56D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新质生产力成吸引跨国巨头新“磁力”</w:t>
            </w:r>
          </w:p>
        </w:tc>
        <w:tc>
          <w:tcPr>
            <w:tcW w:w="826" w:type="dxa"/>
            <w:vAlign w:val="center"/>
          </w:tcPr>
          <w:p w14:paraId="4D0A6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>基础类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3749</w:t>
            </w:r>
          </w:p>
        </w:tc>
        <w:tc>
          <w:tcPr>
            <w:tcW w:w="826" w:type="dxa"/>
            <w:vAlign w:val="center"/>
          </w:tcPr>
          <w:p w14:paraId="3B74E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>通讯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6221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姜微、王辰阳、贾远琨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陶德言、田宝剑、陈锐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>参考消息报社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gree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《参考消息》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2E12C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6F721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版面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>特稿周刊7版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2024年3月28日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华文中宋" w:cs="Times New Roman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0"/>
              </w:rPr>
              <w:t>https://h.xinhuaxmt.com/vh512/share/11947401</w:t>
            </w: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640A7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22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一是见势早，观点新。敏锐捕捉和深刻洞察新质生产力是世界经济发展的强动力、新引擎。针对外资在华频频落子、外企高管密集访华、外商发展数据再创新高等新闻热点，报道团队开展头脑风暴，提炼出新质生产力成吸引跨国巨头新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“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磁力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”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的鲜明主题。</w:t>
            </w:r>
          </w:p>
          <w:p w14:paraId="244D5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22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二是站位高，立意深。深入解析总书记提出新质生产力的深刻内涵和深谋远虑。稿件着眼外资加码新赛道动态，且深挖一层，聚焦中国优化营商环境、推进高水平对外开放格局的新引力，落脚在中国经济对全球发展的积极贡献。</w:t>
            </w:r>
          </w:p>
          <w:p w14:paraId="75523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360" w:lineRule="exact"/>
              <w:ind w:firstLine="422" w:firstLineChars="200"/>
              <w:jc w:val="left"/>
              <w:textAlignment w:val="auto"/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三是驳谬误，强信心。有力驳斥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“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外资撤离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”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中国的唱衰论调，引导正面舆论。通过外企高管观点和外资加码投资的数据、案例，有力回击不实言论和恶意引导，唱响中国经济光明论。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34" w:type="dxa"/>
            <w:vAlign w:val="center"/>
          </w:tcPr>
          <w:p w14:paraId="36331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44E1C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1" w:firstLineChars="100"/>
              <w:jc w:val="left"/>
              <w:textAlignment w:val="auto"/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稿件在《参考消息》整版刊发，抓住外资在华新动态和看好新质生产力的热点，以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“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领先一步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”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的独家视角传递中国经济与全球互动的新动态，在总书记会见美国工商界和战略学术界代表当天见报，形成良好宣传声势。</w:t>
            </w:r>
          </w:p>
          <w:p w14:paraId="0BAAE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稿件结合最新经济形势展开分析，讲清楚新质生产力如何引发全球共享新机遇，寓事于理、可读性强，更是创造出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“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磁吸力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”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等唱响中国经济光明论的新鲜提法，相关内容被人民日报任仲平文章、商务部新闻发布会等多次引用。中央电视台财经频道、中文国际频道等引述相关内容，跟进评论和新媒体报道。光明日报、中国青年报跟进同主题报道。</w:t>
            </w:r>
          </w:p>
          <w:p w14:paraId="3CBFA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textAlignment w:val="auto"/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报道被近百家媒体转载，新华社、参考消息客户端阅读量超1</w:t>
            </w:r>
            <w:r>
              <w:rPr>
                <w:rFonts w:cs="仿宋" w:asciiTheme="majorEastAsia" w:hAnsiTheme="majorEastAsia" w:eastAsiaTheme="majorEastAsia"/>
                <w:b/>
                <w:bCs w:val="0"/>
                <w:sz w:val="21"/>
                <w:szCs w:val="21"/>
              </w:rPr>
              <w:t>6</w:t>
            </w:r>
            <w:r>
              <w:rPr>
                <w:rFonts w:hint="eastAsia" w:cs="仿宋" w:asciiTheme="majorEastAsia" w:hAnsiTheme="majorEastAsia" w:eastAsiaTheme="majorEastAsia"/>
                <w:b/>
                <w:bCs w:val="0"/>
                <w:sz w:val="21"/>
                <w:szCs w:val="21"/>
              </w:rPr>
              <w:t>0万。被评为新华社总编室每周表扬稿、2024年度新华社优秀作品。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https://h.xinhuaxmt.com/vh512/share/11947401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7FD8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https://www.cankaoxiaoxi.com/#/detailsPage/%20/b852097c3fdf4705bc2fa165b1c43507/1/2024-03-28%2017:37?childrenAlias=undefined</w:t>
            </w:r>
          </w:p>
          <w:p w14:paraId="5216A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D6B1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160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万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2B76D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稿件紧紧围绕新质生产力新理论，紧扣外企看好中国新质生产力发展新前景新动向，以敏锐的眼光、开阔的视野、翔实的案例，深入阐述新质生产力创造全球合作共赢新机遇，有力唱响中国经济光明论。</w:t>
            </w:r>
          </w:p>
          <w:p w14:paraId="3548E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稿件主题重大，视角独特，立意高深，采访扎实，写作精良，反响好，是宣传习近平经济思想与新质生产力理论、讲好中国经济故事的代表作。</w:t>
            </w:r>
          </w:p>
          <w:p w14:paraId="26286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4"/>
              </w:rPr>
            </w:pPr>
          </w:p>
          <w:p w14:paraId="318FD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4"/>
              </w:rPr>
            </w:pPr>
          </w:p>
          <w:p w14:paraId="0D8EB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4"/>
              </w:rPr>
            </w:pPr>
          </w:p>
          <w:p w14:paraId="2197B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cs="仿宋" w:asciiTheme="majorEastAsia" w:hAnsiTheme="majorEastAsia" w:eastAsiaTheme="majorEastAsia"/>
                <w:bCs/>
                <w:sz w:val="24"/>
              </w:rPr>
            </w:pPr>
          </w:p>
          <w:p w14:paraId="35AE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4"/>
              </w:rPr>
            </w:pPr>
          </w:p>
          <w:p w14:paraId="2D597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cs="仿宋" w:asciiTheme="majorEastAsia" w:hAnsiTheme="majorEastAsia" w:eastAsiaTheme="majorEastAsia"/>
                <w:bCs/>
                <w:sz w:val="24"/>
              </w:rPr>
            </w:pPr>
          </w:p>
          <w:p w14:paraId="3109B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8"/>
                <w:szCs w:val="28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</w:rPr>
              <w:t xml:space="preserve">                          </w:t>
            </w:r>
            <w:r>
              <w:rPr>
                <w:rFonts w:cs="仿宋" w:asciiTheme="majorEastAsia" w:hAnsiTheme="majorEastAsia" w:eastAsiaTheme="majorEastAsia"/>
                <w:bCs/>
                <w:sz w:val="24"/>
              </w:rPr>
              <w:t xml:space="preserve">    </w:t>
            </w: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 xml:space="preserve"> </w:t>
            </w:r>
            <w:r>
              <w:rPr>
                <w:rFonts w:cs="仿宋" w:asciiTheme="majorEastAsia" w:hAnsiTheme="majorEastAsia" w:eastAsiaTheme="majorEastAsia"/>
                <w:bCs/>
                <w:sz w:val="28"/>
                <w:szCs w:val="28"/>
              </w:rPr>
              <w:t xml:space="preserve">     </w:t>
            </w: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>签名：（盖单位公章）</w:t>
            </w:r>
          </w:p>
          <w:p w14:paraId="5DF11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left"/>
              <w:textAlignment w:val="auto"/>
              <w:rPr>
                <w:rFonts w:cs="仿宋" w:asciiTheme="majorEastAsia" w:hAnsiTheme="majorEastAsia" w:eastAsiaTheme="majorEastAsia"/>
                <w:bCs/>
                <w:sz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cs="仿宋" w:asciiTheme="majorEastAsia" w:hAnsiTheme="majorEastAsia" w:eastAsiaTheme="majorEastAsia"/>
                <w:bCs/>
                <w:sz w:val="28"/>
                <w:szCs w:val="28"/>
              </w:rPr>
              <w:t xml:space="preserve">2025年 5 </w:t>
            </w: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>月</w:t>
            </w:r>
            <w:r>
              <w:rPr>
                <w:rFonts w:cs="仿宋" w:asciiTheme="majorEastAsia" w:hAnsiTheme="majorEastAsia" w:eastAsiaTheme="majorEastAsia"/>
                <w:bCs/>
                <w:sz w:val="28"/>
                <w:szCs w:val="28"/>
              </w:rPr>
              <w:t xml:space="preserve"> 7 </w:t>
            </w:r>
            <w:r>
              <w:rPr>
                <w:rFonts w:hint="eastAsia" w:cs="仿宋" w:asciiTheme="majorEastAsia" w:hAnsiTheme="majorEastAsia" w:eastAsiaTheme="majorEastAsia"/>
                <w:bCs/>
                <w:sz w:val="28"/>
                <w:szCs w:val="28"/>
              </w:rPr>
              <w:t>日</w:t>
            </w:r>
          </w:p>
        </w:tc>
      </w:tr>
    </w:tbl>
    <w:p w14:paraId="4B220551">
      <w:pPr>
        <w:rPr>
          <w:rFonts w:hint="eastAsia"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spacing w:after="100" w:afterAutospacing="1"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6" w:type="default"/>
      <w:footerReference r:id="rId8" w:type="default"/>
      <w:headerReference r:id="rId7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A1E9C">
    <w:pPr>
      <w:pStyle w:val="7"/>
      <w:jc w:val="right"/>
      <w:rPr>
        <w:rFonts w:ascii="仿宋" w:hAnsi="仿宋" w:eastAsia="仿宋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79C04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68BAD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674AF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2EF6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4F35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20A1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00E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550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7612E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659C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37C3B"/>
    <w:rsid w:val="00B40179"/>
    <w:rsid w:val="00B416A9"/>
    <w:rsid w:val="00B41B1B"/>
    <w:rsid w:val="00B41D16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25F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0FDF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89B2EBB"/>
    <w:rsid w:val="1A7CA4C8"/>
    <w:rsid w:val="1D7D5129"/>
    <w:rsid w:val="1EE367D7"/>
    <w:rsid w:val="1FBE4D8F"/>
    <w:rsid w:val="240344BC"/>
    <w:rsid w:val="27BBD431"/>
    <w:rsid w:val="29FB622F"/>
    <w:rsid w:val="2A5C61EA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5915F7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2C3DA-CFE4-41F2-8877-468D6C1B7B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968</Words>
  <Characters>1194</Characters>
  <Lines>9</Lines>
  <Paragraphs>2</Paragraphs>
  <TotalTime>0</TotalTime>
  <ScaleCrop>false</ScaleCrop>
  <LinksUpToDate>false</LinksUpToDate>
  <CharactersWithSpaces>1275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2025-05-07T03:11:00Z</dcterms:created>
  <dc:creator>wangyongpo</dc:creator>
  <cp:lastModifiedBy>火焱</cp:lastModifiedBy>
  <cp:lastPrinted>2025-03-11T03:20:00Z</cp:lastPrinted>
  <dcterms:modified xsi:type="dcterms:W3CDTF">2025-05-12T09:03:29Z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