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8E174">
      <w:pPr>
        <w:spacing w:after="100" w:afterAutospacing="1"/>
        <w:rPr>
          <w:rFonts w:hint="eastAsia" w:ascii="楷体" w:hAnsi="楷体" w:eastAsia="楷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附件3</w:t>
      </w:r>
    </w:p>
    <w:p w14:paraId="6940C057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36"/>
        </w:rPr>
        <w:t>中国新闻奖新闻漫画参评作品推荐表</w:t>
      </w:r>
    </w:p>
    <w:p w14:paraId="4F21873D">
      <w:pPr>
        <w:widowControl/>
        <w:spacing w:line="40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13"/>
        <w:gridCol w:w="83"/>
        <w:gridCol w:w="424"/>
        <w:gridCol w:w="694"/>
        <w:gridCol w:w="559"/>
        <w:gridCol w:w="1005"/>
        <w:gridCol w:w="193"/>
        <w:gridCol w:w="416"/>
        <w:gridCol w:w="368"/>
        <w:gridCol w:w="138"/>
        <w:gridCol w:w="422"/>
        <w:gridCol w:w="561"/>
        <w:gridCol w:w="331"/>
        <w:gridCol w:w="183"/>
        <w:gridCol w:w="612"/>
        <w:gridCol w:w="322"/>
        <w:gridCol w:w="449"/>
        <w:gridCol w:w="1308"/>
      </w:tblGrid>
      <w:tr w14:paraId="398D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14E3D6D9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标题</w:t>
            </w:r>
          </w:p>
        </w:tc>
        <w:tc>
          <w:tcPr>
            <w:tcW w:w="3742" w:type="dxa"/>
            <w:gridSpan w:val="8"/>
            <w:noWrap w:val="0"/>
            <w:vAlign w:val="center"/>
          </w:tcPr>
          <w:p w14:paraId="6C4CA6B0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《圆规起笔，扩面应保尽保》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5B5CAEAD">
            <w:pPr>
              <w:widowControl/>
              <w:snapToGrid w:val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 w14:paraId="45B541BF"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新闻漫画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1"/>
                <w:szCs w:val="22"/>
                <w:u w:val="single"/>
              </w:rPr>
              <w:t>单幅</w:t>
            </w:r>
            <w:r>
              <w:rPr>
                <w:rFonts w:hint="eastAsia" w:ascii="仿宋" w:hAnsi="仿宋" w:eastAsia="仿宋"/>
                <w:color w:val="000000"/>
                <w:sz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类</w:t>
            </w:r>
          </w:p>
          <w:p w14:paraId="53672B98">
            <w:pPr>
              <w:spacing w:line="320" w:lineRule="exact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2"/>
              </w:rPr>
              <w:t>(单幅/组画(长图)/动画/国际传播)</w:t>
            </w:r>
          </w:p>
        </w:tc>
      </w:tr>
      <w:tr w14:paraId="441E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33486635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742" w:type="dxa"/>
            <w:gridSpan w:val="8"/>
            <w:noWrap w:val="0"/>
            <w:vAlign w:val="center"/>
          </w:tcPr>
          <w:p w14:paraId="40384561">
            <w:pPr>
              <w:spacing w:line="260" w:lineRule="exact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赵乃育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2FEE0134"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 w14:paraId="3B7A309D">
            <w:pPr>
              <w:spacing w:line="26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    崔玮</w:t>
            </w:r>
          </w:p>
        </w:tc>
      </w:tr>
      <w:tr w14:paraId="6A00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833" w:type="dxa"/>
            <w:gridSpan w:val="4"/>
            <w:noWrap w:val="0"/>
            <w:vAlign w:val="center"/>
          </w:tcPr>
          <w:p w14:paraId="6A7E1C90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235" w:type="dxa"/>
            <w:gridSpan w:val="6"/>
            <w:noWrap w:val="0"/>
            <w:vAlign w:val="center"/>
          </w:tcPr>
          <w:p w14:paraId="166FF255">
            <w:pPr>
              <w:spacing w:line="260" w:lineRule="exact"/>
              <w:rPr>
                <w:rFonts w:hint="default" w:ascii="仿宋" w:hAnsi="仿宋" w:eastAsia="仿宋"/>
                <w:szCs w:val="21"/>
                <w:lang w:val="en-US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中国劳动保障报社</w:t>
            </w:r>
            <w:bookmarkEnd w:id="0"/>
          </w:p>
        </w:tc>
        <w:tc>
          <w:tcPr>
            <w:tcW w:w="1452" w:type="dxa"/>
            <w:gridSpan w:val="4"/>
            <w:noWrap w:val="0"/>
            <w:vAlign w:val="center"/>
          </w:tcPr>
          <w:p w14:paraId="508D06E0"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刊播日期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 w14:paraId="43FDD2D2"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2024年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月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17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日</w:t>
            </w:r>
          </w:p>
        </w:tc>
      </w:tr>
      <w:tr w14:paraId="462E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833" w:type="dxa"/>
            <w:gridSpan w:val="4"/>
            <w:noWrap w:val="0"/>
            <w:vAlign w:val="center"/>
          </w:tcPr>
          <w:p w14:paraId="0BCE3017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所配合的</w:t>
            </w:r>
          </w:p>
          <w:p w14:paraId="02A806C9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文字报道标题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60E73369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《念好精准诀 做实扩面功》</w:t>
            </w:r>
          </w:p>
        </w:tc>
        <w:tc>
          <w:tcPr>
            <w:tcW w:w="1820" w:type="dxa"/>
            <w:gridSpan w:val="5"/>
            <w:noWrap w:val="0"/>
            <w:vAlign w:val="center"/>
          </w:tcPr>
          <w:p w14:paraId="47556DEF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刊发版面</w:t>
            </w:r>
          </w:p>
          <w:p w14:paraId="281D5BE2">
            <w:pPr>
              <w:widowControl/>
              <w:snapToGrid w:val="0"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16"/>
                <w:szCs w:val="16"/>
              </w:rPr>
              <w:t>(发布端/账号/版次</w:t>
            </w:r>
            <w:r>
              <w:rPr>
                <w:rFonts w:ascii="华文中宋" w:hAnsi="华文中宋" w:eastAsia="华文中宋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 w14:paraId="6C121C11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声音观察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  <w:r>
              <w:rPr>
                <w:rFonts w:hint="eastAsia"/>
                <w:vertAlign w:val="baseline"/>
                <w:lang w:val="en-US" w:eastAsia="zh-CN"/>
              </w:rPr>
              <w:t>周二三版</w:t>
            </w:r>
          </w:p>
        </w:tc>
      </w:tr>
      <w:tr w14:paraId="622F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3" w:type="dxa"/>
            <w:gridSpan w:val="4"/>
            <w:noWrap w:val="0"/>
            <w:vAlign w:val="center"/>
          </w:tcPr>
          <w:p w14:paraId="42280F21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新媒体作品</w:t>
            </w:r>
          </w:p>
          <w:p w14:paraId="033091EA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网址</w:t>
            </w:r>
          </w:p>
        </w:tc>
        <w:tc>
          <w:tcPr>
            <w:tcW w:w="4687" w:type="dxa"/>
            <w:gridSpan w:val="10"/>
            <w:noWrap w:val="0"/>
            <w:vAlign w:val="center"/>
          </w:tcPr>
          <w:p w14:paraId="5926FAE4"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566" w:type="dxa"/>
            <w:gridSpan w:val="4"/>
            <w:noWrap w:val="0"/>
            <w:vAlign w:val="center"/>
          </w:tcPr>
          <w:p w14:paraId="0725BD7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4C8D50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308" w:type="dxa"/>
            <w:noWrap w:val="0"/>
            <w:vAlign w:val="center"/>
          </w:tcPr>
          <w:p w14:paraId="6BD34434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</w:p>
        </w:tc>
      </w:tr>
      <w:tr w14:paraId="1FA7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exact"/>
          <w:jc w:val="center"/>
        </w:trPr>
        <w:tc>
          <w:tcPr>
            <w:tcW w:w="1013" w:type="dxa"/>
            <w:noWrap w:val="0"/>
            <w:vAlign w:val="center"/>
          </w:tcPr>
          <w:p w14:paraId="6F52C81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︵</w:t>
            </w:r>
          </w:p>
          <w:p w14:paraId="49EC84A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1D88DA0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19E6A1E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1B6F89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7DBC80B7">
            <w:pPr>
              <w:widowControl w:val="0"/>
              <w:spacing w:line="34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381" w:type="dxa"/>
            <w:gridSpan w:val="18"/>
            <w:noWrap w:val="0"/>
            <w:vAlign w:val="center"/>
          </w:tcPr>
          <w:p w14:paraId="363B8494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以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圆规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这一教育工具为视觉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主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体，构建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政策为圆心、扩面为半径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的独特隐喻体系。通过工具理性与人文关怀的双重意象叠加，既体现社会保障制度建设的科学性，又传递民生温度。该视觉符号在同类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漫画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主题创作中具有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创新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性。</w:t>
            </w:r>
          </w:p>
          <w:p w14:paraId="04736D95"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圆规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起笔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象征制度起点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旋转轨迹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对应扩面进程，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闭合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圆形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预示保障闭环。配合阶梯式人物群像，直观展现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灵活就业人员、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城乡居民、新业态从业者等重点群体渐次纳入的时空维度。</w:t>
            </w:r>
          </w:p>
          <w:p w14:paraId="18D72205">
            <w:pPr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主画面中圆规尖针锚定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应保尽保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政策内核，通过圆规作画的过程叙事，将参保流程转化为可感知的空间运动，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充分展现社保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扩面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惠及全民的生动画面。</w:t>
            </w:r>
          </w:p>
          <w:p w14:paraId="00278ADB">
            <w:pPr>
              <w:widowControl w:val="0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1988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exact"/>
          <w:jc w:val="center"/>
        </w:trPr>
        <w:tc>
          <w:tcPr>
            <w:tcW w:w="1013" w:type="dxa"/>
            <w:noWrap w:val="0"/>
            <w:vAlign w:val="center"/>
          </w:tcPr>
          <w:p w14:paraId="08853C08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社</w:t>
            </w:r>
          </w:p>
          <w:p w14:paraId="298E5CA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会</w:t>
            </w:r>
          </w:p>
          <w:p w14:paraId="3EFB5B8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效</w:t>
            </w:r>
          </w:p>
          <w:p w14:paraId="668818A9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果</w:t>
            </w:r>
          </w:p>
        </w:tc>
        <w:tc>
          <w:tcPr>
            <w:tcW w:w="8381" w:type="dxa"/>
            <w:gridSpan w:val="18"/>
            <w:noWrap w:val="0"/>
            <w:vAlign w:val="center"/>
          </w:tcPr>
          <w:p w14:paraId="5097DF6C">
            <w:pPr>
              <w:spacing w:line="360" w:lineRule="exact"/>
              <w:ind w:firstLine="0" w:firstLineChars="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以精巧的视觉转译破解政策传播难题，用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漫画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艺术语言架设制度与民心的沟通桥梁</w:t>
            </w:r>
            <w:r>
              <w:rPr>
                <w:rFonts w:hint="eastAsia" w:eastAsia="仿宋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作品发布后，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在人社领域取得一定社会影响和效果。</w:t>
            </w:r>
          </w:p>
        </w:tc>
      </w:tr>
      <w:tr w14:paraId="27CE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 w14:paraId="7E8F0F2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5D8B092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26E2533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4157FD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4" w:type="dxa"/>
            <w:gridSpan w:val="4"/>
            <w:vMerge w:val="restart"/>
            <w:noWrap w:val="0"/>
            <w:vAlign w:val="center"/>
          </w:tcPr>
          <w:p w14:paraId="5E4210D5">
            <w:pPr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30FF6E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559" w:type="dxa"/>
            <w:noWrap w:val="0"/>
            <w:vAlign w:val="center"/>
          </w:tcPr>
          <w:p w14:paraId="3CD6E4C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308" w:type="dxa"/>
            <w:gridSpan w:val="13"/>
            <w:noWrap w:val="0"/>
            <w:vAlign w:val="center"/>
          </w:tcPr>
          <w:p w14:paraId="529DB53B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填报参评作品网址、其他平台发布或转发网址。</w:t>
            </w:r>
            <w:r>
              <w:rPr>
                <w:rFonts w:hint="eastAsia" w:ascii="仿宋" w:hAnsi="仿宋" w:eastAsia="仿宋"/>
                <w:color w:val="000000"/>
                <w:sz w:val="20"/>
                <w:szCs w:val="13"/>
              </w:rPr>
              <w:t>如未在新媒体传播平台发布，可空缺。国际传播</w:t>
            </w:r>
            <w:r>
              <w:rPr>
                <w:rFonts w:hint="eastAsia" w:ascii="仿宋" w:hAnsi="仿宋" w:eastAsia="仿宋"/>
                <w:color w:val="000000"/>
                <w:sz w:val="20"/>
                <w:szCs w:val="13"/>
                <w:lang w:val="en-US" w:eastAsia="zh-CN"/>
              </w:rPr>
              <w:t>漫画</w:t>
            </w:r>
            <w:r>
              <w:rPr>
                <w:rFonts w:hint="eastAsia" w:ascii="仿宋" w:hAnsi="仿宋" w:eastAsia="仿宋"/>
                <w:color w:val="000000"/>
                <w:sz w:val="20"/>
                <w:szCs w:val="13"/>
              </w:rPr>
              <w:t>作品填报境外平台传播数据。</w:t>
            </w:r>
          </w:p>
        </w:tc>
      </w:tr>
      <w:tr w14:paraId="7E47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69CFA4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Merge w:val="continue"/>
            <w:noWrap w:val="0"/>
            <w:vAlign w:val="center"/>
          </w:tcPr>
          <w:p w14:paraId="3890022F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59" w:type="dxa"/>
            <w:noWrap w:val="0"/>
            <w:vAlign w:val="center"/>
          </w:tcPr>
          <w:p w14:paraId="4C9CC95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308" w:type="dxa"/>
            <w:gridSpan w:val="13"/>
            <w:noWrap w:val="0"/>
            <w:vAlign w:val="center"/>
          </w:tcPr>
          <w:p w14:paraId="62D9D1AD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736B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332F9E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Merge w:val="continue"/>
            <w:noWrap w:val="0"/>
            <w:vAlign w:val="center"/>
          </w:tcPr>
          <w:p w14:paraId="5C6A2F8B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59" w:type="dxa"/>
            <w:noWrap w:val="0"/>
            <w:vAlign w:val="center"/>
          </w:tcPr>
          <w:p w14:paraId="2D4D21B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308" w:type="dxa"/>
            <w:gridSpan w:val="13"/>
            <w:noWrap w:val="0"/>
            <w:vAlign w:val="center"/>
          </w:tcPr>
          <w:p w14:paraId="7400810F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5B42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269700C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3F4F2FD0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 w14:paraId="75859002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 w14:paraId="409CBB31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 w14:paraId="1D5F5DA4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 w14:paraId="3C19996F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 w14:paraId="6AFD6852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68FB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exact"/>
          <w:jc w:val="center"/>
        </w:trPr>
        <w:tc>
          <w:tcPr>
            <w:tcW w:w="1013" w:type="dxa"/>
            <w:noWrap w:val="0"/>
            <w:vAlign w:val="center"/>
          </w:tcPr>
          <w:p w14:paraId="6B042DC1">
            <w:pPr>
              <w:widowControl w:val="0"/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0F21B58F">
            <w:pPr>
              <w:widowControl w:val="0"/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9256C18">
            <w:pPr>
              <w:widowControl w:val="0"/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1F446735">
            <w:pPr>
              <w:widowControl w:val="0"/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36EA951">
            <w:pPr>
              <w:widowControl w:val="0"/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2A2986E2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381" w:type="dxa"/>
            <w:gridSpan w:val="18"/>
            <w:noWrap w:val="0"/>
            <w:vAlign w:val="center"/>
          </w:tcPr>
          <w:p w14:paraId="7901A22D">
            <w:p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  <w:p w14:paraId="57253AFC">
            <w:pPr>
              <w:ind w:firstLine="420" w:firstLineChars="20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以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圆规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画圆体现社保扩面工作成绩，具有一定的创新性，帮助读者更形象地了解社保扩面给百姓带来的实惠。</w:t>
            </w:r>
          </w:p>
          <w:p w14:paraId="6713FEBA">
            <w:pPr>
              <w:widowControl/>
              <w:spacing w:line="360" w:lineRule="exact"/>
              <w:jc w:val="left"/>
              <w:rPr>
                <w:rFonts w:hint="eastAsia"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 xml:space="preserve">                                 </w:t>
            </w:r>
          </w:p>
          <w:p w14:paraId="48CC69A8">
            <w:pPr>
              <w:widowControl/>
              <w:spacing w:line="360" w:lineRule="exact"/>
              <w:ind w:firstLine="5040" w:firstLineChars="180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签名：</w:t>
            </w:r>
          </w:p>
          <w:p w14:paraId="13F5B458">
            <w:pPr>
              <w:spacing w:line="360" w:lineRule="exact"/>
              <w:ind w:firstLine="5460" w:firstLineChars="1950"/>
              <w:jc w:val="left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（盖单位公章）</w:t>
            </w:r>
          </w:p>
          <w:p w14:paraId="6DE77E79">
            <w:pPr>
              <w:widowControl/>
              <w:spacing w:line="360" w:lineRule="exact"/>
              <w:ind w:firstLine="3920" w:firstLineChars="1400"/>
              <w:rPr>
                <w:rFonts w:hint="eastAsia"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 xml:space="preserve">             2025年  月  日 </w:t>
            </w:r>
          </w:p>
        </w:tc>
      </w:tr>
      <w:tr w14:paraId="11CB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409" w:type="dxa"/>
            <w:gridSpan w:val="3"/>
            <w:noWrap w:val="0"/>
            <w:vAlign w:val="center"/>
          </w:tcPr>
          <w:p w14:paraId="7E7A2039">
            <w:pPr>
              <w:widowControl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联系人</w:t>
            </w:r>
          </w:p>
        </w:tc>
        <w:tc>
          <w:tcPr>
            <w:tcW w:w="2682" w:type="dxa"/>
            <w:gridSpan w:val="4"/>
            <w:noWrap w:val="0"/>
            <w:vAlign w:val="center"/>
          </w:tcPr>
          <w:p w14:paraId="0DCB7CAA">
            <w:pPr>
              <w:widowControl/>
              <w:snapToGrid w:val="0"/>
              <w:ind w:firstLine="56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gridSpan w:val="5"/>
            <w:noWrap w:val="0"/>
            <w:vAlign w:val="center"/>
          </w:tcPr>
          <w:p w14:paraId="5889DCDB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766" w:type="dxa"/>
            <w:gridSpan w:val="7"/>
            <w:noWrap w:val="0"/>
            <w:vAlign w:val="center"/>
          </w:tcPr>
          <w:p w14:paraId="00EA540E">
            <w:pPr>
              <w:widowControl/>
              <w:spacing w:line="40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23D4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013" w:type="dxa"/>
            <w:noWrap w:val="0"/>
            <w:vAlign w:val="center"/>
          </w:tcPr>
          <w:p w14:paraId="18261D19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078" w:type="dxa"/>
            <w:gridSpan w:val="6"/>
            <w:noWrap w:val="0"/>
            <w:vAlign w:val="center"/>
          </w:tcPr>
          <w:p w14:paraId="5FF0D966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gridSpan w:val="5"/>
            <w:noWrap w:val="0"/>
            <w:vAlign w:val="center"/>
          </w:tcPr>
          <w:p w14:paraId="7AE4EE5D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766" w:type="dxa"/>
            <w:gridSpan w:val="7"/>
            <w:noWrap w:val="0"/>
            <w:vAlign w:val="center"/>
          </w:tcPr>
          <w:p w14:paraId="4D19DCB8">
            <w:pPr>
              <w:widowControl/>
              <w:snapToGrid w:val="0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397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13" w:type="dxa"/>
            <w:noWrap w:val="0"/>
            <w:vAlign w:val="center"/>
          </w:tcPr>
          <w:p w14:paraId="13367D99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176" w:type="dxa"/>
            <w:gridSpan w:val="12"/>
            <w:noWrap w:val="0"/>
            <w:vAlign w:val="center"/>
          </w:tcPr>
          <w:p w14:paraId="06059E6A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 w14:paraId="0B5A49C7">
            <w:pPr>
              <w:widowControl/>
              <w:spacing w:line="4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79" w:type="dxa"/>
            <w:gridSpan w:val="3"/>
            <w:noWrap w:val="0"/>
            <w:vAlign w:val="center"/>
          </w:tcPr>
          <w:p w14:paraId="6DEA9904">
            <w:pPr>
              <w:widowControl/>
              <w:snapToGrid w:val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 w14:paraId="48B9310F"/>
    <w:p w14:paraId="3BD6E000"/>
    <w:p w14:paraId="14060218"/>
    <w:p w14:paraId="5C4EE51D"/>
    <w:p w14:paraId="4492FA15"/>
    <w:p w14:paraId="09A61843"/>
    <w:p w14:paraId="6AC168FD"/>
    <w:p w14:paraId="42675D9D"/>
    <w:p w14:paraId="40DC0D68"/>
    <w:p w14:paraId="4974A749"/>
    <w:p w14:paraId="2D6E509F"/>
    <w:p w14:paraId="6EA11374"/>
    <w:p w14:paraId="09C11D6E"/>
    <w:p w14:paraId="100DA16A"/>
    <w:p w14:paraId="642A3AA8"/>
    <w:p w14:paraId="17B7C868"/>
    <w:p w14:paraId="3B2B1CD2"/>
    <w:p w14:paraId="0D46CE64"/>
    <w:p w14:paraId="65965148"/>
    <w:p w14:paraId="61338562"/>
    <w:p w14:paraId="0CF8B9F1"/>
    <w:p w14:paraId="31D8863B"/>
    <w:p w14:paraId="20E351BB"/>
    <w:p w14:paraId="168DD5DF"/>
    <w:p w14:paraId="0FC8AFB2"/>
    <w:p w14:paraId="2879D829"/>
    <w:p w14:paraId="4AC78320"/>
    <w:p w14:paraId="5F643EA8"/>
    <w:p w14:paraId="6AC5BFC1"/>
    <w:p w14:paraId="13BD5EEE"/>
    <w:p w14:paraId="6E2C47F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作品主要贡献人员名单</w:t>
      </w:r>
    </w:p>
    <w:p w14:paraId="16F27791">
      <w:pPr>
        <w:spacing w:line="560" w:lineRule="exact"/>
        <w:jc w:val="both"/>
        <w:rPr>
          <w:rFonts w:hint="eastAsia" w:ascii="仿宋" w:eastAsia="仿宋" w:cs="仿宋"/>
          <w:sz w:val="28"/>
          <w:szCs w:val="28"/>
          <w:lang w:val="en-US" w:eastAsia="zh-CN"/>
        </w:rPr>
      </w:pPr>
    </w:p>
    <w:p w14:paraId="1C943C3A">
      <w:pPr>
        <w:spacing w:line="560" w:lineRule="exact"/>
        <w:jc w:val="both"/>
        <w:rPr>
          <w:rFonts w:hint="default" w:asci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 xml:space="preserve">作品：《 </w:t>
      </w:r>
      <w:r>
        <w:rPr>
          <w:rFonts w:hint="eastAsia"/>
          <w:vertAlign w:val="baseline"/>
          <w:lang w:val="en-US" w:eastAsia="zh-CN"/>
        </w:rPr>
        <w:t xml:space="preserve">圆规起笔，扩面应保尽保 </w:t>
      </w: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》</w:t>
      </w:r>
    </w:p>
    <w:p w14:paraId="326D3840">
      <w:pPr>
        <w:spacing w:line="560" w:lineRule="exact"/>
        <w:jc w:val="both"/>
        <w:rPr>
          <w:rFonts w:hint="default" w:asci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作者：</w:t>
      </w:r>
      <w:r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  <w:t>（赵乃育）</w:t>
      </w:r>
    </w:p>
    <w:p w14:paraId="763687D9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  <w:r>
        <w:rPr>
          <w:rFonts w:hint="eastAsia" w:ascii="仿宋" w:hAnsi="Times New Roman" w:eastAsia="仿宋" w:cs="仿宋"/>
          <w:b/>
          <w:bCs/>
          <w:sz w:val="28"/>
          <w:szCs w:val="28"/>
          <w:lang w:val="en-US" w:eastAsia="zh-CN"/>
        </w:rPr>
        <w:t>编辑：</w:t>
      </w:r>
      <w:r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  <w:t>（崔玮）</w:t>
      </w:r>
    </w:p>
    <w:p w14:paraId="05EF073D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6BCAE647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30BA59DF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1F0B0FC1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0552AA3B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51CE2252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129BD29D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7FD0AC8D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559B3D0D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37E151CC">
      <w:pPr>
        <w:widowControl w:val="0"/>
        <w:rPr>
          <w:rFonts w:hint="eastAsia"/>
          <w:vertAlign w:val="baseline"/>
          <w:lang w:val="en-US" w:eastAsia="zh-CN"/>
        </w:rPr>
      </w:pPr>
    </w:p>
    <w:p w14:paraId="4FAC9CCC">
      <w:pPr>
        <w:widowControl w:val="0"/>
        <w:rPr>
          <w:rFonts w:hint="eastAsia"/>
          <w:vertAlign w:val="baseline"/>
          <w:lang w:val="en-US" w:eastAsia="zh-CN"/>
        </w:rPr>
      </w:pPr>
    </w:p>
    <w:p w14:paraId="06143A8C">
      <w:pPr>
        <w:widowControl w:val="0"/>
        <w:rPr>
          <w:rFonts w:hint="eastAsia"/>
          <w:vertAlign w:val="baseline"/>
          <w:lang w:val="en-US" w:eastAsia="zh-CN"/>
        </w:rPr>
      </w:pPr>
    </w:p>
    <w:p w14:paraId="4A406390">
      <w:pPr>
        <w:widowControl w:val="0"/>
        <w:rPr>
          <w:rFonts w:hint="eastAsia"/>
          <w:vertAlign w:val="baseline"/>
          <w:lang w:val="en-US" w:eastAsia="zh-CN"/>
        </w:rPr>
      </w:pPr>
    </w:p>
    <w:p w14:paraId="09F4CB1F">
      <w:pPr>
        <w:widowControl w:val="0"/>
        <w:rPr>
          <w:rFonts w:hint="eastAsia"/>
          <w:vertAlign w:val="baseline"/>
          <w:lang w:val="en-US" w:eastAsia="zh-CN"/>
        </w:rPr>
      </w:pPr>
    </w:p>
    <w:p w14:paraId="69B165BD">
      <w:pPr>
        <w:widowControl w:val="0"/>
        <w:rPr>
          <w:rFonts w:hint="eastAsia"/>
          <w:vertAlign w:val="baseline"/>
          <w:lang w:val="en-US" w:eastAsia="zh-CN"/>
        </w:rPr>
      </w:pPr>
    </w:p>
    <w:p w14:paraId="4BBB2E5E">
      <w:pPr>
        <w:widowControl w:val="0"/>
        <w:rPr>
          <w:rFonts w:hint="eastAsia"/>
          <w:vertAlign w:val="baseline"/>
          <w:lang w:val="en-US" w:eastAsia="zh-CN"/>
        </w:rPr>
      </w:pPr>
    </w:p>
    <w:p w14:paraId="53FC3F27">
      <w:pPr>
        <w:widowControl w:val="0"/>
        <w:rPr>
          <w:rFonts w:hint="eastAsia"/>
          <w:vertAlign w:val="baseline"/>
          <w:lang w:val="en-US" w:eastAsia="zh-CN"/>
        </w:rPr>
      </w:pPr>
    </w:p>
    <w:p w14:paraId="0F92A8BE">
      <w:pPr>
        <w:widowControl w:val="0"/>
        <w:rPr>
          <w:rFonts w:hint="eastAsia"/>
          <w:vertAlign w:val="baseline"/>
          <w:lang w:val="en-US" w:eastAsia="zh-CN"/>
        </w:rPr>
      </w:pPr>
    </w:p>
    <w:p w14:paraId="0791D3B1">
      <w:pPr>
        <w:widowControl w:val="0"/>
        <w:rPr>
          <w:rFonts w:hint="eastAsia"/>
          <w:vertAlign w:val="baseline"/>
          <w:lang w:val="en-US" w:eastAsia="zh-CN"/>
        </w:rPr>
      </w:pPr>
    </w:p>
    <w:p w14:paraId="30C73711">
      <w:pPr>
        <w:widowControl w:val="0"/>
        <w:rPr>
          <w:rFonts w:hint="eastAsia"/>
          <w:vertAlign w:val="baseline"/>
          <w:lang w:val="en-US" w:eastAsia="zh-CN"/>
        </w:rPr>
      </w:pPr>
    </w:p>
    <w:p w14:paraId="03DADDA9">
      <w:pPr>
        <w:widowControl w:val="0"/>
        <w:rPr>
          <w:rFonts w:hint="eastAsia"/>
          <w:vertAlign w:val="baseline"/>
          <w:lang w:val="en-US" w:eastAsia="zh-CN"/>
        </w:rPr>
      </w:pPr>
    </w:p>
    <w:p w14:paraId="49696840">
      <w:pPr>
        <w:widowControl w:val="0"/>
        <w:rPr>
          <w:rFonts w:hint="eastAsia"/>
          <w:vertAlign w:val="baseline"/>
          <w:lang w:val="en-US" w:eastAsia="zh-CN"/>
        </w:rPr>
      </w:pPr>
    </w:p>
    <w:p w14:paraId="2AC8A937">
      <w:pPr>
        <w:widowControl w:val="0"/>
        <w:rPr>
          <w:rFonts w:hint="eastAsia"/>
          <w:vertAlign w:val="baseline"/>
          <w:lang w:val="en-US" w:eastAsia="zh-CN"/>
        </w:rPr>
      </w:pPr>
    </w:p>
    <w:p w14:paraId="03955750">
      <w:pPr>
        <w:widowControl w:val="0"/>
        <w:rPr>
          <w:rFonts w:hint="eastAsia"/>
          <w:vertAlign w:val="baseline"/>
          <w:lang w:val="en-US" w:eastAsia="zh-CN"/>
        </w:rPr>
      </w:pPr>
    </w:p>
    <w:p w14:paraId="1F714597">
      <w:pPr>
        <w:widowControl w:val="0"/>
        <w:rPr>
          <w:rFonts w:hint="eastAsia"/>
          <w:vertAlign w:val="baseline"/>
          <w:lang w:val="en-US" w:eastAsia="zh-CN"/>
        </w:rPr>
      </w:pPr>
    </w:p>
    <w:p w14:paraId="0DBDDB72">
      <w:pPr>
        <w:widowControl w:val="0"/>
        <w:rPr>
          <w:rFonts w:hint="eastAsia"/>
          <w:vertAlign w:val="baseline"/>
          <w:lang w:val="en-US" w:eastAsia="zh-CN"/>
        </w:rPr>
      </w:pPr>
    </w:p>
    <w:p w14:paraId="73394E4B">
      <w:pPr>
        <w:widowControl w:val="0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圆规起笔，扩面应保尽保</w:t>
      </w:r>
    </w:p>
    <w:p w14:paraId="62FDD8A5">
      <w:pPr>
        <w:widowControl w:val="0"/>
        <w:jc w:val="center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“圆规”起笔，象征我国社会保障制度起点；“旋转轨迹”对应社保扩面进程，“闭合圆形”预示保障覆盖城镇职工、灵活就业人员、城乡居民等所有人群，展现实现社保梦的美好画面。</w:t>
      </w:r>
      <w:r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  <w:drawing>
          <wp:inline distT="0" distB="0" distL="114300" distR="114300">
            <wp:extent cx="5273675" cy="4023995"/>
            <wp:effectExtent l="0" t="0" r="3175" b="14605"/>
            <wp:docPr id="2" name="图片 2" descr="24311de68950a8bba14475f34b1c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311de68950a8bba14475f34b1c7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E842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3D6F39C9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190E6747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6F9227E0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1A4664DE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14032467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06D50D8B">
      <w:pPr>
        <w:widowControl w:val="0"/>
        <w:rPr>
          <w:rFonts w:hint="eastAsia" w:ascii="仿宋" w:eastAsia="仿宋" w:cs="仿宋"/>
          <w:b/>
          <w:bCs/>
          <w:color w:val="767171" w:themeColor="background2" w:themeShade="80"/>
          <w:sz w:val="28"/>
          <w:szCs w:val="28"/>
          <w:lang w:val="en-US" w:eastAsia="zh-CN"/>
        </w:rPr>
      </w:pPr>
    </w:p>
    <w:p w14:paraId="61244282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A26A23-10FF-4E51-9DC4-33CA993343B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CFA92BF-8934-4A05-9186-A2A9E7DA2F5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1AD6F98-49FC-4F09-BDA3-AF2C1DCA56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C22E181-687C-4CC5-8612-6400C0EB97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DA35216-CDEB-460D-A569-B5FCC2BA74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AC5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8C8E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8C8E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E4067"/>
    <w:rsid w:val="097C7C49"/>
    <w:rsid w:val="11CA1794"/>
    <w:rsid w:val="34841C47"/>
    <w:rsid w:val="5B0B7045"/>
    <w:rsid w:val="5B0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1076</Words>
  <Characters>1128</Characters>
  <Lines>0</Lines>
  <Paragraphs>0</Paragraphs>
  <TotalTime>2</TotalTime>
  <ScaleCrop>false</ScaleCrop>
  <LinksUpToDate>false</LinksUpToDate>
  <CharactersWithSpaces>1214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2025-04-18T03:26:00Z</dcterms:created>
  <dc:creator>火焱</dc:creator>
  <cp:lastModifiedBy>火焱</cp:lastModifiedBy>
  <dcterms:modified xsi:type="dcterms:W3CDTF">2025-04-21T05:01:10Z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4C3C405FFFF9464C9FCF72264F26BF02_13</vt:lpwstr>
  </property>
  <property fmtid="{D5CDD505-2E9C-101B-9397-08002B2CF9AE}" pid="4" name="KSOTemplateDocerSaveRecord">
    <vt:lpwstr>eyJoZGlkIjoiMzNmNzU2YzY1NWY5MDVkMzA0ZDUwNDlkMTA5MTgzZGQiLCJ1c2VySWQiOiI1NDk5OTUyNzYifQ==</vt:lpwstr>
  </property>
</Properties>
</file>