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AC541">
      <w:pPr>
        <w:widowControl/>
        <w:jc w:val="left"/>
        <w:rPr>
          <w:rFonts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附件2</w:t>
      </w:r>
    </w:p>
    <w:p w14:paraId="5E67944E">
      <w:pPr>
        <w:spacing w:line="560" w:lineRule="exact"/>
        <w:jc w:val="center"/>
        <w:rPr>
          <w:rFonts w:ascii="华文中宋" w:hAnsi="华文中宋" w:eastAsia="华文中宋"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color w:val="000000"/>
          <w:sz w:val="36"/>
          <w:szCs w:val="36"/>
        </w:rPr>
        <w:t>融合报道、应用创新参评作品推荐表</w:t>
      </w:r>
      <w:bookmarkStart w:id="0" w:name="附件3"/>
      <w:bookmarkEnd w:id="0"/>
    </w:p>
    <w:p w14:paraId="47833F4D">
      <w:pPr>
        <w:spacing w:line="200" w:lineRule="exact"/>
        <w:jc w:val="center"/>
        <w:rPr>
          <w:rFonts w:ascii="华文中宋" w:hAnsi="华文中宋" w:eastAsia="华文中宋"/>
          <w:color w:val="000000"/>
          <w:sz w:val="36"/>
          <w:szCs w:val="36"/>
        </w:rPr>
      </w:pPr>
    </w:p>
    <w:tbl>
      <w:tblPr>
        <w:tblStyle w:val="3"/>
        <w:tblW w:w="100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3693"/>
        <w:gridCol w:w="1647"/>
        <w:gridCol w:w="3086"/>
      </w:tblGrid>
      <w:tr w14:paraId="086E7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" w:hRule="exact"/>
          <w:jc w:val="center"/>
        </w:trPr>
        <w:tc>
          <w:tcPr>
            <w:tcW w:w="1662" w:type="dxa"/>
            <w:vAlign w:val="center"/>
          </w:tcPr>
          <w:p w14:paraId="375B63F0"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作品标题</w:t>
            </w:r>
          </w:p>
        </w:tc>
        <w:tc>
          <w:tcPr>
            <w:tcW w:w="3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15C87A">
            <w:pPr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你有一张前往三峡的船票，请注意查收！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B8C571">
            <w:pPr>
              <w:spacing w:line="300" w:lineRule="exact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参评项目</w:t>
            </w:r>
          </w:p>
        </w:tc>
        <w:tc>
          <w:tcPr>
            <w:tcW w:w="30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7B40B6">
            <w:pPr>
              <w:spacing w:line="300" w:lineRule="exact"/>
              <w:rPr>
                <w:rFonts w:ascii="仿宋_GB2312" w:hAnsi="华文仿宋" w:eastAsia="仿宋_GB2312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融合报道</w:t>
            </w:r>
          </w:p>
        </w:tc>
      </w:tr>
      <w:tr w14:paraId="27618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1662" w:type="dxa"/>
            <w:vAlign w:val="center"/>
          </w:tcPr>
          <w:p w14:paraId="11BC79C8">
            <w:pPr>
              <w:spacing w:line="32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主创人员</w:t>
            </w:r>
          </w:p>
        </w:tc>
        <w:tc>
          <w:tcPr>
            <w:tcW w:w="3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898AB">
            <w:pPr>
              <w:spacing w:line="300" w:lineRule="exact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陈锐 樊弋滋 王子月 罗景月 杨桦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595A4">
            <w:pPr>
              <w:spacing w:line="300" w:lineRule="exact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编辑</w:t>
            </w:r>
          </w:p>
        </w:tc>
        <w:tc>
          <w:tcPr>
            <w:tcW w:w="3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A6CEC">
            <w:pPr>
              <w:spacing w:line="300" w:lineRule="exact"/>
              <w:rPr>
                <w:rFonts w:hint="default" w:ascii="仿宋_GB2312" w:hAnsi="华文仿宋" w:eastAsia="仿宋_GB231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王子月 罗景月</w:t>
            </w:r>
          </w:p>
        </w:tc>
      </w:tr>
      <w:tr w14:paraId="3DCD5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7" w:hRule="exact"/>
          <w:jc w:val="center"/>
        </w:trPr>
        <w:tc>
          <w:tcPr>
            <w:tcW w:w="1662" w:type="dxa"/>
            <w:vAlign w:val="center"/>
          </w:tcPr>
          <w:p w14:paraId="640578C2"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  <w:highlight w:val="yellow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原创单位</w:t>
            </w:r>
          </w:p>
        </w:tc>
        <w:tc>
          <w:tcPr>
            <w:tcW w:w="3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6910E">
            <w:pPr>
              <w:spacing w:line="300" w:lineRule="exact"/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中国水利报社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7931D"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发布平台</w:t>
            </w:r>
          </w:p>
        </w:tc>
        <w:tc>
          <w:tcPr>
            <w:tcW w:w="3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38EE2">
            <w:pPr>
              <w:spacing w:line="24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中国水事</w:t>
            </w:r>
            <w:r>
              <w:rPr>
                <w:rFonts w:hint="eastAsia" w:ascii="仿宋" w:hAnsi="仿宋" w:eastAsia="仿宋"/>
                <w:bCs/>
                <w:szCs w:val="21"/>
              </w:rPr>
              <w:t>微信</w:t>
            </w:r>
            <w:r>
              <w:rPr>
                <w:rFonts w:ascii="仿宋" w:hAnsi="仿宋" w:eastAsia="仿宋"/>
                <w:bCs/>
                <w:szCs w:val="21"/>
              </w:rPr>
              <w:t>公众号</w:t>
            </w:r>
          </w:p>
        </w:tc>
      </w:tr>
      <w:tr w14:paraId="55445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1662" w:type="dxa"/>
            <w:vAlign w:val="center"/>
          </w:tcPr>
          <w:p w14:paraId="0A41F08F"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发布日期</w:t>
            </w:r>
          </w:p>
        </w:tc>
        <w:tc>
          <w:tcPr>
            <w:tcW w:w="842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B65E17">
            <w:pPr>
              <w:spacing w:line="24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2024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年</w:t>
            </w:r>
            <w:r>
              <w:rPr>
                <w:rFonts w:hint="eastAsia" w:ascii="仿宋" w:hAnsi="仿宋" w:eastAsia="仿宋"/>
                <w:szCs w:val="21"/>
              </w:rPr>
              <w:t>12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月</w:t>
            </w:r>
            <w:r>
              <w:rPr>
                <w:rFonts w:hint="eastAsia" w:ascii="仿宋" w:hAnsi="仿宋" w:eastAsia="仿宋"/>
                <w:szCs w:val="21"/>
              </w:rPr>
              <w:t>14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日</w:t>
            </w:r>
          </w:p>
        </w:tc>
      </w:tr>
      <w:tr w14:paraId="00898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exact"/>
          <w:jc w:val="center"/>
        </w:trPr>
        <w:tc>
          <w:tcPr>
            <w:tcW w:w="1662" w:type="dxa"/>
            <w:vAlign w:val="center"/>
          </w:tcPr>
          <w:p w14:paraId="3AE6DBFB"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作品链接</w:t>
            </w:r>
          </w:p>
          <w:p w14:paraId="4591ECFF"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和二维码</w:t>
            </w:r>
          </w:p>
        </w:tc>
        <w:tc>
          <w:tcPr>
            <w:tcW w:w="8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DD10D">
            <w:pPr>
              <w:jc w:val="left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HYPERLINK "https://mp.weixin.qq.com/s/WWZHuUaQhPkPNfda8byvyQ" </w:instrTex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仿宋" w:hAnsi="仿宋" w:eastAsia="仿宋"/>
                <w:szCs w:val="21"/>
              </w:rPr>
              <w:t>https://mp.weixin.qq.com/s/WWZHuUaQhPkPNfda8byvyQ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0A66893B">
            <w:pPr>
              <w:jc w:val="left"/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667385" cy="667385"/>
                  <wp:effectExtent l="0" t="0" r="18415" b="18415"/>
                  <wp:docPr id="1" name="图片 1" descr="1_1039360113_171_85_3_992502270_117290c4d5e039275e3a35a602deb7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_1039360113_171_85_3_992502270_117290c4d5e039275e3a35a602deb7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385" cy="667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1BD9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3" w:hRule="exact"/>
          <w:jc w:val="center"/>
        </w:trPr>
        <w:tc>
          <w:tcPr>
            <w:tcW w:w="1662" w:type="dxa"/>
            <w:vAlign w:val="center"/>
          </w:tcPr>
          <w:p w14:paraId="381D65FF"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作品简介</w:t>
            </w:r>
          </w:p>
          <w:p w14:paraId="5ADEA65A">
            <w:pPr>
              <w:spacing w:line="380" w:lineRule="exact"/>
              <w:jc w:val="center"/>
              <w:rPr>
                <w:rFonts w:ascii="华文中宋" w:hAnsi="华文中宋" w:eastAsia="华文中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（采编过程）</w:t>
            </w:r>
          </w:p>
        </w:tc>
        <w:tc>
          <w:tcPr>
            <w:tcW w:w="8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0B146">
            <w:pP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三峡工程承载着中华民族的百年梦想。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习近平总书记指出，三峡工程是国之重器。2024年12月14日适逢三峡工程开工建设30周年，当天特别策划推出该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新媒体交互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作品，全方位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展示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30年来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三峡工程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防洪、发电、航运、水资源利用、民生、生态环境保护等方面发挥的巨大综合效益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创新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阅读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浏览形式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用三峡地区独特的“豌豆角”木扁舟为引，以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豌豆角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”“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游轮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交通工具的变化来反映三峡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工程建设为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库区带来的翻天覆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地的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改变。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通过置入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多个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交互点位，带领读者游历三峡，增强作品互动感，更立体形象地展现三峡工程对保障整个长江流域的防洪安全、航运安全和供水安全等发挥的重要作用。</w:t>
            </w:r>
          </w:p>
        </w:tc>
      </w:tr>
      <w:tr w14:paraId="6D35B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exac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832DB"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社会效果</w:t>
            </w:r>
          </w:p>
        </w:tc>
        <w:tc>
          <w:tcPr>
            <w:tcW w:w="8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FA626">
            <w:pPr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作品在“中国水事”微信公众号单平台浏览量超10万，反响较好，读者留言“历史的船，发展的船，成果的船”。</w:t>
            </w:r>
          </w:p>
        </w:tc>
      </w:tr>
      <w:tr w14:paraId="0BBF2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4" w:hRule="exact"/>
          <w:jc w:val="center"/>
        </w:trPr>
        <w:tc>
          <w:tcPr>
            <w:tcW w:w="1662" w:type="dxa"/>
            <w:vAlign w:val="center"/>
          </w:tcPr>
          <w:p w14:paraId="41735416"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推荐理由</w:t>
            </w:r>
          </w:p>
          <w:p w14:paraId="006D9FF2"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8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22D19">
            <w:pPr>
              <w:spacing w:line="380" w:lineRule="exact"/>
              <w:jc w:val="both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该融合报道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聚焦重大主题，以技术创新赋能正能量传播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在语言表达、视觉呈现、内容创作等多方面进行融合和创新，让受众乐于阅读、易于记忆、愿意传播。作品有权威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的行业领域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知识、有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事关百姓安居乐业的喜人成绩，兼顾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创新语言和视觉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体验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，同意推荐。</w:t>
            </w:r>
          </w:p>
          <w:p w14:paraId="4835A57F"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华文中宋" w:hAnsi="华文中宋" w:eastAsia="华文中宋"/>
                <w:sz w:val="24"/>
              </w:rPr>
              <w:t>签名：</w:t>
            </w:r>
          </w:p>
          <w:p w14:paraId="4D1AD808">
            <w:pPr>
              <w:spacing w:line="38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   </w:t>
            </w:r>
            <w:r>
              <w:rPr>
                <w:rFonts w:ascii="华文中宋" w:hAnsi="华文中宋" w:eastAsia="华文中宋"/>
                <w:sz w:val="24"/>
              </w:rPr>
              <w:t xml:space="preserve">        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（加盖单位公章）</w:t>
            </w:r>
          </w:p>
          <w:p w14:paraId="19DE99CE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</w:t>
            </w:r>
            <w:r>
              <w:rPr>
                <w:rFonts w:ascii="华文中宋" w:hAnsi="华文中宋" w:eastAsia="华文中宋"/>
                <w:sz w:val="24"/>
              </w:rPr>
              <w:t xml:space="preserve">                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</w:t>
            </w:r>
            <w:r>
              <w:rPr>
                <w:rFonts w:ascii="华文中宋" w:hAnsi="华文中宋" w:eastAsia="华文中宋"/>
                <w:sz w:val="24"/>
              </w:rPr>
              <w:t xml:space="preserve">  年  </w:t>
            </w:r>
            <w:r>
              <w:rPr>
                <w:rFonts w:hint="eastAsia" w:ascii="华文中宋" w:hAnsi="华文中宋" w:eastAsia="华文中宋"/>
                <w:sz w:val="24"/>
              </w:rPr>
              <w:t>月</w:t>
            </w:r>
            <w:r>
              <w:rPr>
                <w:rFonts w:ascii="华文中宋" w:hAnsi="华文中宋" w:eastAsia="华文中宋"/>
                <w:sz w:val="24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4"/>
              </w:rPr>
              <w:t>日</w:t>
            </w:r>
          </w:p>
        </w:tc>
      </w:tr>
    </w:tbl>
    <w:p w14:paraId="5CE9526B">
      <w:pPr>
        <w:spacing w:line="240" w:lineRule="auto"/>
        <w:jc w:val="left"/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282811-2CBB-48B1-B208-595D474F90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681BBB7E-8393-4A41-A760-B64827D948B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580AD47-97C7-4615-B46F-3E344319BC8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6B0F8A0-4251-4838-AAE2-C04D326AE8AE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FC91B6EE-3826-49E4-B8E6-DF91CAE01AA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F61C157C-AE8B-4F59-99CD-12B5C488BE1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8574F"/>
    <w:rsid w:val="02A1232A"/>
    <w:rsid w:val="0FC24482"/>
    <w:rsid w:val="12F9266D"/>
    <w:rsid w:val="1332191F"/>
    <w:rsid w:val="14651C9A"/>
    <w:rsid w:val="1E85324A"/>
    <w:rsid w:val="26747E2C"/>
    <w:rsid w:val="3AC32737"/>
    <w:rsid w:val="41CD5B07"/>
    <w:rsid w:val="522B5E58"/>
    <w:rsid w:val="57C8574F"/>
    <w:rsid w:val="68BC5661"/>
    <w:rsid w:val="73415962"/>
    <w:rsid w:val="742A559B"/>
    <w:rsid w:val="795B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635</Words>
  <Characters>745</Characters>
  <Lines>0</Lines>
  <Paragraphs>0</Paragraphs>
  <TotalTime>0</TotalTime>
  <ScaleCrop>false</ScaleCrop>
  <LinksUpToDate>false</LinksUpToDate>
  <CharactersWithSpaces>893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2025-02-25T10:37:00Z</dcterms:created>
  <dc:creator>火焱</dc:creator>
  <cp:lastModifiedBy>火焱</cp:lastModifiedBy>
  <dcterms:modified xsi:type="dcterms:W3CDTF">2025-04-14T09:24:34Z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431F18F7F93942D2A3981D929FF5850E_13</vt:lpwstr>
  </property>
  <property fmtid="{D5CDD505-2E9C-101B-9397-08002B2CF9AE}" pid="4" name="KSOTemplateDocerSaveRecord">
    <vt:lpwstr>eyJoZGlkIjoiNDQ3NjYxODRmODIxMDMyNGY4ODdlYjQ0MjlmZTQ3YTEiLCJ1c2VySWQiOiI1NDk5OTUyNzYifQ==</vt:lpwstr>
  </property>
</Properties>
</file>