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ascii="方正小标宋简体" w:hAnsi="华文中宋" w:eastAsia="方正小标宋简体"/>
          <w:sz w:val="40"/>
          <w:szCs w:val="32"/>
        </w:rPr>
      </w:pPr>
      <w:r>
        <w:rPr>
          <w:rFonts w:hint="eastAsia" w:ascii="方正小标宋简体" w:hAnsi="华文中宋" w:eastAsia="方正小标宋简体"/>
          <w:sz w:val="40"/>
          <w:szCs w:val="32"/>
        </w:rPr>
        <w:t>中国新闻奖报纸、通讯社新闻专栏参评作品推荐表</w:t>
      </w:r>
    </w:p>
    <w:p>
      <w:pPr>
        <w:widowControl w:val="0"/>
        <w:spacing w:line="200" w:lineRule="exact"/>
        <w:jc w:val="center"/>
        <w:rPr>
          <w:rFonts w:ascii="华文中宋" w:hAnsi="华文中宋" w:eastAsia="华文中宋"/>
          <w:sz w:val="36"/>
          <w:szCs w:val="36"/>
        </w:rPr>
      </w:pPr>
    </w:p>
    <w:tbl>
      <w:tblPr>
        <w:tblStyle w:val="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424"/>
        <w:gridCol w:w="2978"/>
        <w:gridCol w:w="1560"/>
        <w:gridCol w:w="3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1572" w:type="dxa"/>
            <w:gridSpan w:val="2"/>
            <w:vAlign w:val="center"/>
          </w:tcPr>
          <w:p>
            <w:pPr>
              <w:keepNext w:val="0"/>
              <w:keepLines w:val="0"/>
              <w:pageBreakBefore w:val="0"/>
              <w:widowControl w:val="0"/>
              <w:kinsoku/>
              <w:wordWrap/>
              <w:overflowPunct/>
              <w:topLinePunct w:val="0"/>
              <w:bidi w:val="0"/>
              <w:snapToGrid/>
              <w:spacing w:line="360" w:lineRule="exact"/>
              <w:ind w:left="560" w:hanging="560" w:hangingChars="200"/>
              <w:jc w:val="center"/>
              <w:textAlignment w:val="auto"/>
              <w:rPr>
                <w:rFonts w:ascii="华文中宋" w:hAnsi="华文中宋" w:eastAsia="华文中宋"/>
                <w:sz w:val="28"/>
                <w:szCs w:val="28"/>
              </w:rPr>
            </w:pPr>
            <w:r>
              <w:rPr>
                <w:rFonts w:hint="eastAsia" w:ascii="华文中宋" w:hAnsi="华文中宋" w:eastAsia="华文中宋"/>
                <w:sz w:val="28"/>
                <w:szCs w:val="28"/>
              </w:rPr>
              <w:t>栏目名称</w:t>
            </w:r>
          </w:p>
        </w:tc>
        <w:tc>
          <w:tcPr>
            <w:tcW w:w="2978"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ascii="仿宋_GB2312" w:hAnsi="华文仿宋" w:eastAsia="仿宋_GB2312" w:cs="仿宋"/>
                <w:sz w:val="28"/>
                <w:szCs w:val="28"/>
                <w:lang w:val="zh-CN"/>
              </w:rPr>
            </w:pPr>
            <w:r>
              <w:rPr>
                <w:rFonts w:hint="eastAsia" w:ascii="仿宋_GB2312" w:hAnsi="华文仿宋" w:eastAsia="仿宋_GB2312" w:cs="仿宋"/>
                <w:sz w:val="28"/>
                <w:szCs w:val="28"/>
                <w:lang w:val="zh-CN"/>
              </w:rPr>
              <w:t>中国故事世界说</w:t>
            </w:r>
          </w:p>
        </w:tc>
        <w:tc>
          <w:tcPr>
            <w:tcW w:w="1560" w:type="dxa"/>
            <w:vAlign w:val="center"/>
          </w:tcPr>
          <w:p>
            <w:pPr>
              <w:keepNext w:val="0"/>
              <w:keepLines w:val="0"/>
              <w:pageBreakBefore w:val="0"/>
              <w:widowControl w:val="0"/>
              <w:kinsoku/>
              <w:wordWrap/>
              <w:overflowPunct/>
              <w:topLinePunct w:val="0"/>
              <w:bidi w:val="0"/>
              <w:snapToGrid/>
              <w:spacing w:line="360" w:lineRule="exact"/>
              <w:ind w:left="560" w:hanging="560" w:hangingChars="200"/>
              <w:jc w:val="center"/>
              <w:textAlignment w:val="auto"/>
              <w:rPr>
                <w:rFonts w:ascii="华文中宋" w:hAnsi="华文中宋" w:eastAsia="华文中宋"/>
                <w:sz w:val="28"/>
                <w:szCs w:val="28"/>
              </w:rPr>
            </w:pPr>
            <w:r>
              <w:rPr>
                <w:rFonts w:hint="eastAsia" w:ascii="华文中宋" w:hAnsi="华文中宋" w:eastAsia="华文中宋"/>
                <w:sz w:val="28"/>
                <w:szCs w:val="28"/>
              </w:rPr>
              <w:t>创办时间</w:t>
            </w:r>
          </w:p>
        </w:tc>
        <w:tc>
          <w:tcPr>
            <w:tcW w:w="3097"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ascii="仿宋_GB2312" w:hAnsi="华文仿宋" w:eastAsia="仿宋_GB2312" w:cs="仿宋"/>
                <w:sz w:val="28"/>
                <w:szCs w:val="28"/>
                <w:lang w:val="zh-CN"/>
              </w:rPr>
            </w:pPr>
            <w:r>
              <w:rPr>
                <w:rFonts w:hint="eastAsia" w:ascii="仿宋_GB2312" w:hAnsi="华文仿宋" w:eastAsia="仿宋_GB2312" w:cs="仿宋"/>
                <w:sz w:val="28"/>
                <w:szCs w:val="28"/>
                <w:lang w:val="zh-CN"/>
              </w:rPr>
              <w:t>2</w:t>
            </w:r>
            <w:r>
              <w:rPr>
                <w:rFonts w:ascii="仿宋_GB2312" w:hAnsi="华文仿宋" w:eastAsia="仿宋_GB2312" w:cs="仿宋"/>
                <w:sz w:val="28"/>
                <w:szCs w:val="28"/>
                <w:lang w:val="zh-CN"/>
              </w:rPr>
              <w:t>022</w:t>
            </w:r>
            <w:r>
              <w:rPr>
                <w:rFonts w:hint="eastAsia" w:ascii="仿宋_GB2312" w:hAnsi="华文仿宋" w:eastAsia="仿宋_GB2312" w:cs="仿宋"/>
                <w:sz w:val="28"/>
                <w:szCs w:val="28"/>
                <w:lang w:val="zh-CN"/>
              </w:rPr>
              <w:t xml:space="preserve">年1月 </w:t>
            </w:r>
            <w:r>
              <w:rPr>
                <w:rFonts w:ascii="仿宋_GB2312" w:hAnsi="华文仿宋" w:eastAsia="仿宋_GB2312" w:cs="仿宋"/>
                <w:sz w:val="28"/>
                <w:szCs w:val="28"/>
                <w:lang w:val="zh-CN"/>
              </w:rPr>
              <w:t xml:space="preserve">4 </w:t>
            </w:r>
            <w:r>
              <w:rPr>
                <w:rFonts w:hint="eastAsia" w:ascii="仿宋_GB2312" w:hAnsi="华文仿宋" w:eastAsia="仿宋_GB2312" w:cs="仿宋"/>
                <w:sz w:val="28"/>
                <w:szCs w:val="28"/>
                <w:lang w:val="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1572" w:type="dxa"/>
            <w:gridSpan w:val="2"/>
            <w:vAlign w:val="center"/>
          </w:tcPr>
          <w:p>
            <w:pPr>
              <w:keepNext w:val="0"/>
              <w:keepLines w:val="0"/>
              <w:pageBreakBefore w:val="0"/>
              <w:widowControl w:val="0"/>
              <w:kinsoku/>
              <w:wordWrap/>
              <w:overflowPunct/>
              <w:topLinePunct w:val="0"/>
              <w:bidi w:val="0"/>
              <w:snapToGrid/>
              <w:spacing w:line="360" w:lineRule="exact"/>
              <w:ind w:left="560" w:hanging="560" w:hangingChars="200"/>
              <w:jc w:val="center"/>
              <w:textAlignment w:val="auto"/>
              <w:rPr>
                <w:rFonts w:ascii="华文中宋" w:hAnsi="华文中宋" w:eastAsia="华文中宋"/>
                <w:sz w:val="28"/>
                <w:szCs w:val="28"/>
              </w:rPr>
            </w:pPr>
            <w:r>
              <w:rPr>
                <w:rFonts w:hint="eastAsia" w:ascii="华文中宋" w:hAnsi="华文中宋" w:eastAsia="华文中宋"/>
                <w:sz w:val="28"/>
                <w:szCs w:val="28"/>
              </w:rPr>
              <w:t>原创单位</w:t>
            </w:r>
          </w:p>
        </w:tc>
        <w:tc>
          <w:tcPr>
            <w:tcW w:w="2978"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ascii="仿宋_GB2312" w:hAnsi="华文仿宋" w:eastAsia="仿宋_GB2312" w:cs="仿宋"/>
                <w:sz w:val="28"/>
                <w:szCs w:val="28"/>
                <w:lang w:val="zh-CN"/>
              </w:rPr>
            </w:pPr>
            <w:r>
              <w:rPr>
                <w:rFonts w:hint="eastAsia" w:ascii="仿宋_GB2312" w:hAnsi="华文仿宋" w:eastAsia="仿宋_GB2312" w:cs="仿宋"/>
                <w:sz w:val="28"/>
                <w:szCs w:val="28"/>
                <w:lang w:val="zh-CN"/>
              </w:rPr>
              <w:t>参考消息报社</w:t>
            </w:r>
          </w:p>
        </w:tc>
        <w:tc>
          <w:tcPr>
            <w:tcW w:w="1560"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ascii="华文中宋" w:hAnsi="华文中宋" w:eastAsia="华文中宋"/>
                <w:color w:val="000000"/>
                <w:sz w:val="28"/>
                <w:szCs w:val="28"/>
              </w:rPr>
            </w:pPr>
            <w:r>
              <w:rPr>
                <w:rFonts w:hint="eastAsia" w:ascii="华文中宋" w:hAnsi="华文中宋" w:eastAsia="华文中宋"/>
                <w:color w:val="000000"/>
                <w:sz w:val="28"/>
                <w:szCs w:val="28"/>
              </w:rPr>
              <w:t>刊播单位</w:t>
            </w:r>
          </w:p>
        </w:tc>
        <w:tc>
          <w:tcPr>
            <w:tcW w:w="3097"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ascii="仿宋_GB2312" w:hAnsi="华文仿宋" w:eastAsia="仿宋_GB2312" w:cs="仿宋"/>
                <w:sz w:val="28"/>
                <w:szCs w:val="28"/>
                <w:lang w:val="zh-CN"/>
              </w:rPr>
            </w:pPr>
            <w:r>
              <w:rPr>
                <w:rFonts w:hint="eastAsia" w:ascii="仿宋_GB2312" w:hAnsi="华文仿宋" w:eastAsia="仿宋_GB2312" w:cs="仿宋"/>
                <w:sz w:val="28"/>
                <w:szCs w:val="28"/>
                <w:lang w:val="zh-CN"/>
              </w:rPr>
              <w:t>《参考消息》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jc w:val="center"/>
        </w:trPr>
        <w:tc>
          <w:tcPr>
            <w:tcW w:w="1572" w:type="dxa"/>
            <w:gridSpan w:val="2"/>
            <w:vAlign w:val="center"/>
          </w:tcPr>
          <w:p>
            <w:pPr>
              <w:keepNext w:val="0"/>
              <w:keepLines w:val="0"/>
              <w:pageBreakBefore w:val="0"/>
              <w:widowControl w:val="0"/>
              <w:kinsoku/>
              <w:wordWrap/>
              <w:overflowPunct/>
              <w:topLinePunct w:val="0"/>
              <w:bidi w:val="0"/>
              <w:snapToGrid/>
              <w:spacing w:line="360" w:lineRule="exact"/>
              <w:ind w:left="560" w:hanging="560" w:hangingChars="200"/>
              <w:jc w:val="center"/>
              <w:textAlignment w:val="auto"/>
              <w:rPr>
                <w:rFonts w:ascii="华文中宋" w:hAnsi="华文中宋" w:eastAsia="华文中宋"/>
                <w:sz w:val="28"/>
                <w:szCs w:val="28"/>
              </w:rPr>
            </w:pPr>
            <w:r>
              <w:rPr>
                <w:rFonts w:hint="eastAsia" w:ascii="华文中宋" w:hAnsi="华文中宋" w:eastAsia="华文中宋"/>
                <w:sz w:val="28"/>
                <w:szCs w:val="28"/>
              </w:rPr>
              <w:t>字数</w:t>
            </w:r>
          </w:p>
        </w:tc>
        <w:tc>
          <w:tcPr>
            <w:tcW w:w="2978"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ascii="仿宋_GB2312" w:hAnsi="华文仿宋" w:eastAsia="仿宋_GB2312" w:cs="仿宋"/>
                <w:sz w:val="28"/>
                <w:szCs w:val="28"/>
                <w:lang w:val="zh-CN"/>
              </w:rPr>
            </w:pPr>
            <w:r>
              <w:rPr>
                <w:rFonts w:hint="eastAsia" w:ascii="仿宋_GB2312" w:hAnsi="华文仿宋" w:eastAsia="仿宋_GB2312" w:cs="仿宋"/>
                <w:sz w:val="22"/>
                <w:szCs w:val="28"/>
                <w:lang w:val="zh-CN"/>
              </w:rPr>
              <w:t>约1</w:t>
            </w:r>
            <w:r>
              <w:rPr>
                <w:rFonts w:ascii="仿宋_GB2312" w:hAnsi="华文仿宋" w:eastAsia="仿宋_GB2312" w:cs="仿宋"/>
                <w:sz w:val="22"/>
                <w:szCs w:val="28"/>
                <w:lang w:val="zh-CN"/>
              </w:rPr>
              <w:t>8</w:t>
            </w:r>
            <w:r>
              <w:rPr>
                <w:rFonts w:hint="eastAsia" w:ascii="仿宋_GB2312" w:hAnsi="华文仿宋" w:eastAsia="仿宋_GB2312" w:cs="仿宋"/>
                <w:sz w:val="22"/>
                <w:szCs w:val="28"/>
                <w:lang w:val="zh-CN"/>
              </w:rPr>
              <w:t>万字</w:t>
            </w:r>
          </w:p>
        </w:tc>
        <w:tc>
          <w:tcPr>
            <w:tcW w:w="1560"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ascii="华文中宋" w:hAnsi="华文中宋" w:eastAsia="华文中宋"/>
                <w:color w:val="000000"/>
                <w:sz w:val="28"/>
                <w:szCs w:val="28"/>
              </w:rPr>
            </w:pPr>
            <w:r>
              <w:rPr>
                <w:rFonts w:hint="eastAsia" w:ascii="华文中宋" w:hAnsi="华文中宋" w:eastAsia="华文中宋"/>
                <w:sz w:val="28"/>
                <w:szCs w:val="28"/>
              </w:rPr>
              <w:t>语种</w:t>
            </w:r>
          </w:p>
        </w:tc>
        <w:tc>
          <w:tcPr>
            <w:tcW w:w="3097"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ascii="仿宋_GB2312" w:hAnsi="华文仿宋" w:eastAsia="仿宋_GB2312" w:cs="仿宋"/>
                <w:sz w:val="28"/>
                <w:szCs w:val="28"/>
                <w:lang w:val="zh-CN"/>
              </w:rPr>
            </w:pPr>
            <w:r>
              <w:rPr>
                <w:rFonts w:hint="eastAsia" w:ascii="仿宋_GB2312" w:hAnsi="华文仿宋" w:eastAsia="仿宋_GB2312" w:cs="仿宋"/>
                <w:sz w:val="28"/>
                <w:szCs w:val="28"/>
                <w:lang w:val="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jc w:val="center"/>
        </w:trPr>
        <w:tc>
          <w:tcPr>
            <w:tcW w:w="1572" w:type="dxa"/>
            <w:gridSpan w:val="2"/>
            <w:vAlign w:val="center"/>
          </w:tcPr>
          <w:p>
            <w:pPr>
              <w:keepNext w:val="0"/>
              <w:keepLines w:val="0"/>
              <w:pageBreakBefore w:val="0"/>
              <w:widowControl w:val="0"/>
              <w:kinsoku/>
              <w:wordWrap/>
              <w:overflowPunct/>
              <w:topLinePunct w:val="0"/>
              <w:bidi w:val="0"/>
              <w:snapToGrid/>
              <w:spacing w:line="360" w:lineRule="exact"/>
              <w:ind w:left="560" w:hanging="560" w:hangingChars="200"/>
              <w:jc w:val="center"/>
              <w:textAlignment w:val="auto"/>
              <w:rPr>
                <w:rFonts w:ascii="华文中宋" w:hAnsi="华文中宋" w:eastAsia="华文中宋"/>
                <w:sz w:val="28"/>
                <w:szCs w:val="28"/>
              </w:rPr>
            </w:pPr>
            <w:r>
              <w:rPr>
                <w:rFonts w:hint="eastAsia" w:ascii="华文中宋" w:hAnsi="华文中宋" w:eastAsia="华文中宋"/>
                <w:color w:val="000000"/>
                <w:sz w:val="28"/>
                <w:szCs w:val="28"/>
              </w:rPr>
              <w:t>刊播</w:t>
            </w:r>
            <w:r>
              <w:rPr>
                <w:rFonts w:hint="eastAsia" w:ascii="华文中宋" w:hAnsi="华文中宋" w:eastAsia="华文中宋"/>
                <w:sz w:val="28"/>
                <w:szCs w:val="28"/>
              </w:rPr>
              <w:t>周期</w:t>
            </w:r>
          </w:p>
        </w:tc>
        <w:tc>
          <w:tcPr>
            <w:tcW w:w="2978"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ascii="仿宋_GB2312" w:hAnsi="华文仿宋" w:eastAsia="仿宋_GB2312" w:cs="仿宋"/>
                <w:sz w:val="28"/>
                <w:szCs w:val="28"/>
                <w:lang w:val="zh-CN"/>
              </w:rPr>
            </w:pPr>
            <w:r>
              <w:rPr>
                <w:rFonts w:hint="eastAsia" w:ascii="仿宋_GB2312" w:hAnsi="华文仿宋" w:eastAsia="仿宋_GB2312" w:cs="仿宋"/>
                <w:sz w:val="28"/>
                <w:szCs w:val="28"/>
                <w:lang w:val="zh-CN"/>
              </w:rPr>
              <w:t>每周定期刊发</w:t>
            </w:r>
          </w:p>
        </w:tc>
        <w:tc>
          <w:tcPr>
            <w:tcW w:w="1560"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ascii="仿宋_GB2312" w:hAnsi="华文仿宋" w:eastAsia="仿宋_GB2312" w:cs="仿宋"/>
                <w:color w:val="000000"/>
                <w:sz w:val="28"/>
                <w:szCs w:val="28"/>
                <w:lang w:val="zh-CN"/>
              </w:rPr>
            </w:pPr>
            <w:r>
              <w:rPr>
                <w:rFonts w:hint="eastAsia" w:ascii="华文中宋" w:hAnsi="华文中宋" w:eastAsia="华文中宋"/>
                <w:color w:val="000000"/>
                <w:sz w:val="28"/>
                <w:szCs w:val="28"/>
              </w:rPr>
              <w:t>刊播版面</w:t>
            </w:r>
          </w:p>
        </w:tc>
        <w:tc>
          <w:tcPr>
            <w:tcW w:w="3097"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仿宋_GB2312" w:hAnsi="华文仿宋" w:eastAsia="仿宋_GB2312" w:cs="仿宋"/>
                <w:sz w:val="18"/>
                <w:szCs w:val="18"/>
                <w:lang w:val="zh-CN"/>
              </w:rPr>
            </w:pPr>
            <w:r>
              <w:rPr>
                <w:rFonts w:hint="eastAsia" w:ascii="仿宋_GB2312" w:hAnsi="华文仿宋" w:eastAsia="仿宋_GB2312" w:cs="仿宋"/>
                <w:sz w:val="18"/>
                <w:szCs w:val="18"/>
                <w:lang w:val="zh-CN"/>
              </w:rPr>
              <w:t>15版 观察中国</w:t>
            </w:r>
          </w:p>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ascii="仿宋_GB2312" w:hAnsi="华文仿宋" w:eastAsia="仿宋_GB2312" w:cs="仿宋"/>
                <w:sz w:val="28"/>
                <w:szCs w:val="28"/>
                <w:lang w:val="zh-CN"/>
              </w:rPr>
            </w:pPr>
            <w:r>
              <w:rPr>
                <w:rFonts w:hint="eastAsia" w:ascii="仿宋_GB2312" w:hAnsi="华文仿宋" w:eastAsia="仿宋_GB2312" w:cs="仿宋"/>
                <w:sz w:val="18"/>
                <w:szCs w:val="18"/>
                <w:lang w:val="zh-CN"/>
              </w:rPr>
              <w:t>10版 特稿周刊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3" w:hRule="exact"/>
          <w:jc w:val="center"/>
        </w:trPr>
        <w:tc>
          <w:tcPr>
            <w:tcW w:w="1572" w:type="dxa"/>
            <w:gridSpan w:val="2"/>
            <w:vAlign w:val="center"/>
          </w:tcPr>
          <w:p>
            <w:pPr>
              <w:keepNext w:val="0"/>
              <w:keepLines w:val="0"/>
              <w:pageBreakBefore w:val="0"/>
              <w:widowControl w:val="0"/>
              <w:kinsoku/>
              <w:wordWrap/>
              <w:overflowPunct/>
              <w:topLinePunct w:val="0"/>
              <w:bidi w:val="0"/>
              <w:snapToGrid/>
              <w:spacing w:line="360" w:lineRule="exact"/>
              <w:ind w:left="560" w:hanging="560" w:hangingChars="200"/>
              <w:jc w:val="center"/>
              <w:textAlignment w:val="auto"/>
              <w:rPr>
                <w:rFonts w:ascii="华文中宋" w:hAnsi="华文中宋" w:eastAsia="华文中宋"/>
                <w:sz w:val="28"/>
                <w:szCs w:val="28"/>
              </w:rPr>
            </w:pPr>
          </w:p>
          <w:p>
            <w:pPr>
              <w:keepNext w:val="0"/>
              <w:keepLines w:val="0"/>
              <w:pageBreakBefore w:val="0"/>
              <w:widowControl w:val="0"/>
              <w:kinsoku/>
              <w:wordWrap/>
              <w:overflowPunct/>
              <w:topLinePunct w:val="0"/>
              <w:bidi w:val="0"/>
              <w:snapToGrid/>
              <w:spacing w:line="360" w:lineRule="exact"/>
              <w:ind w:left="560" w:hanging="560" w:hangingChars="200"/>
              <w:jc w:val="center"/>
              <w:textAlignment w:val="auto"/>
              <w:rPr>
                <w:rFonts w:ascii="华文中宋" w:hAnsi="华文中宋" w:eastAsia="华文中宋"/>
                <w:sz w:val="28"/>
                <w:szCs w:val="28"/>
              </w:rPr>
            </w:pPr>
          </w:p>
          <w:p>
            <w:pPr>
              <w:keepNext w:val="0"/>
              <w:keepLines w:val="0"/>
              <w:pageBreakBefore w:val="0"/>
              <w:widowControl w:val="0"/>
              <w:kinsoku/>
              <w:wordWrap/>
              <w:overflowPunct/>
              <w:topLinePunct w:val="0"/>
              <w:bidi w:val="0"/>
              <w:snapToGrid/>
              <w:spacing w:line="360" w:lineRule="exact"/>
              <w:ind w:left="560" w:hanging="560" w:hangingChars="200"/>
              <w:jc w:val="center"/>
              <w:textAlignment w:val="auto"/>
              <w:rPr>
                <w:rFonts w:ascii="华文中宋" w:hAnsi="华文中宋" w:eastAsia="华文中宋"/>
                <w:sz w:val="28"/>
                <w:szCs w:val="28"/>
              </w:rPr>
            </w:pPr>
          </w:p>
          <w:p>
            <w:pPr>
              <w:keepNext w:val="0"/>
              <w:keepLines w:val="0"/>
              <w:pageBreakBefore w:val="0"/>
              <w:widowControl w:val="0"/>
              <w:kinsoku/>
              <w:wordWrap/>
              <w:overflowPunct/>
              <w:topLinePunct w:val="0"/>
              <w:bidi w:val="0"/>
              <w:snapToGrid/>
              <w:spacing w:line="360" w:lineRule="exact"/>
              <w:textAlignment w:val="auto"/>
              <w:rPr>
                <w:rFonts w:ascii="华文中宋" w:hAnsi="华文中宋" w:eastAsia="华文中宋"/>
                <w:sz w:val="28"/>
                <w:szCs w:val="28"/>
              </w:rPr>
            </w:pPr>
          </w:p>
          <w:p>
            <w:pPr>
              <w:keepNext w:val="0"/>
              <w:keepLines w:val="0"/>
              <w:pageBreakBefore w:val="0"/>
              <w:widowControl w:val="0"/>
              <w:kinsoku/>
              <w:wordWrap/>
              <w:overflowPunct/>
              <w:topLinePunct w:val="0"/>
              <w:bidi w:val="0"/>
              <w:snapToGrid/>
              <w:spacing w:line="360" w:lineRule="exact"/>
              <w:textAlignment w:val="auto"/>
              <w:rPr>
                <w:rFonts w:ascii="华文中宋" w:hAnsi="华文中宋" w:eastAsia="华文中宋"/>
                <w:sz w:val="28"/>
                <w:szCs w:val="28"/>
              </w:rPr>
            </w:pPr>
            <w:r>
              <w:rPr>
                <w:rFonts w:hint="eastAsia" w:ascii="华文中宋" w:hAnsi="华文中宋" w:eastAsia="华文中宋"/>
                <w:sz w:val="28"/>
                <w:szCs w:val="28"/>
              </w:rPr>
              <w:t>主创人员</w:t>
            </w:r>
          </w:p>
          <w:p>
            <w:pPr>
              <w:keepNext w:val="0"/>
              <w:keepLines w:val="0"/>
              <w:pageBreakBefore w:val="0"/>
              <w:widowControl w:val="0"/>
              <w:kinsoku/>
              <w:wordWrap/>
              <w:overflowPunct/>
              <w:topLinePunct w:val="0"/>
              <w:bidi w:val="0"/>
              <w:snapToGrid/>
              <w:spacing w:line="360" w:lineRule="exact"/>
              <w:ind w:left="560" w:hanging="560" w:hangingChars="200"/>
              <w:jc w:val="center"/>
              <w:textAlignment w:val="auto"/>
              <w:rPr>
                <w:rFonts w:ascii="华文中宋" w:hAnsi="华文中宋" w:eastAsia="华文中宋"/>
                <w:sz w:val="28"/>
                <w:szCs w:val="28"/>
              </w:rPr>
            </w:pPr>
          </w:p>
          <w:p>
            <w:pPr>
              <w:keepNext w:val="0"/>
              <w:keepLines w:val="0"/>
              <w:pageBreakBefore w:val="0"/>
              <w:widowControl w:val="0"/>
              <w:kinsoku/>
              <w:wordWrap/>
              <w:overflowPunct/>
              <w:topLinePunct w:val="0"/>
              <w:bidi w:val="0"/>
              <w:snapToGrid/>
              <w:spacing w:line="360" w:lineRule="exact"/>
              <w:ind w:left="560" w:hanging="560" w:hangingChars="200"/>
              <w:jc w:val="center"/>
              <w:textAlignment w:val="auto"/>
              <w:rPr>
                <w:rFonts w:ascii="华文中宋" w:hAnsi="华文中宋" w:eastAsia="华文中宋"/>
                <w:sz w:val="28"/>
                <w:szCs w:val="28"/>
              </w:rPr>
            </w:pPr>
          </w:p>
          <w:p>
            <w:pPr>
              <w:keepNext w:val="0"/>
              <w:keepLines w:val="0"/>
              <w:pageBreakBefore w:val="0"/>
              <w:widowControl w:val="0"/>
              <w:kinsoku/>
              <w:wordWrap/>
              <w:overflowPunct/>
              <w:topLinePunct w:val="0"/>
              <w:bidi w:val="0"/>
              <w:snapToGrid/>
              <w:spacing w:line="360" w:lineRule="exact"/>
              <w:ind w:left="560" w:hanging="560" w:hangingChars="200"/>
              <w:jc w:val="center"/>
              <w:textAlignment w:val="auto"/>
              <w:rPr>
                <w:rFonts w:ascii="华文中宋" w:hAnsi="华文中宋" w:eastAsia="华文中宋"/>
                <w:sz w:val="28"/>
                <w:szCs w:val="28"/>
              </w:rPr>
            </w:pPr>
          </w:p>
          <w:p>
            <w:pPr>
              <w:keepNext w:val="0"/>
              <w:keepLines w:val="0"/>
              <w:pageBreakBefore w:val="0"/>
              <w:widowControl w:val="0"/>
              <w:kinsoku/>
              <w:wordWrap/>
              <w:overflowPunct/>
              <w:topLinePunct w:val="0"/>
              <w:bidi w:val="0"/>
              <w:snapToGrid/>
              <w:spacing w:line="360" w:lineRule="exact"/>
              <w:ind w:left="560" w:hanging="560" w:hangingChars="200"/>
              <w:jc w:val="center"/>
              <w:textAlignment w:val="auto"/>
              <w:rPr>
                <w:rFonts w:hint="eastAsia" w:ascii="华文中宋" w:hAnsi="华文中宋" w:eastAsia="华文中宋"/>
                <w:sz w:val="28"/>
                <w:szCs w:val="28"/>
              </w:rPr>
            </w:pPr>
          </w:p>
        </w:tc>
        <w:tc>
          <w:tcPr>
            <w:tcW w:w="2978"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ascii="仿宋_GB2312" w:hAnsi="华文仿宋" w:eastAsia="仿宋_GB2312" w:cs="仿宋"/>
                <w:sz w:val="28"/>
                <w:szCs w:val="28"/>
                <w:lang w:val="zh-CN"/>
              </w:rPr>
            </w:pPr>
            <w:r>
              <w:rPr>
                <w:rFonts w:hint="eastAsia" w:ascii="仿宋_GB2312" w:hAnsi="华文仿宋" w:eastAsia="仿宋_GB2312" w:cs="仿宋"/>
                <w:sz w:val="28"/>
                <w:szCs w:val="28"/>
                <w:lang w:val="zh-CN"/>
              </w:rPr>
              <w:t>周效政 陶德言 陈建利 李颖 王缅 田宝剑</w:t>
            </w:r>
          </w:p>
        </w:tc>
        <w:tc>
          <w:tcPr>
            <w:tcW w:w="1560" w:type="dxa"/>
            <w:vAlign w:val="center"/>
          </w:tcPr>
          <w:p>
            <w:pPr>
              <w:keepNext w:val="0"/>
              <w:keepLines w:val="0"/>
              <w:pageBreakBefore w:val="0"/>
              <w:widowControl w:val="0"/>
              <w:kinsoku/>
              <w:wordWrap/>
              <w:overflowPunct/>
              <w:topLinePunct w:val="0"/>
              <w:bidi w:val="0"/>
              <w:snapToGrid/>
              <w:spacing w:line="360" w:lineRule="exact"/>
              <w:ind w:left="560" w:hanging="560" w:hangingChars="200"/>
              <w:jc w:val="center"/>
              <w:textAlignment w:val="auto"/>
              <w:rPr>
                <w:rFonts w:ascii="华文中宋" w:hAnsi="华文中宋" w:eastAsia="华文中宋"/>
                <w:sz w:val="28"/>
                <w:szCs w:val="28"/>
              </w:rPr>
            </w:pPr>
            <w:r>
              <w:rPr>
                <w:rFonts w:hint="eastAsia" w:ascii="华文中宋" w:hAnsi="华文中宋" w:eastAsia="华文中宋"/>
                <w:sz w:val="28"/>
                <w:szCs w:val="28"/>
              </w:rPr>
              <w:t>编辑</w:t>
            </w:r>
          </w:p>
        </w:tc>
        <w:tc>
          <w:tcPr>
            <w:tcW w:w="3097"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_GB2312" w:hAnsi="华文仿宋" w:eastAsia="仿宋_GB2312" w:cs="仿宋"/>
                <w:sz w:val="20"/>
                <w:szCs w:val="20"/>
                <w:lang w:val="zh-CN"/>
              </w:rPr>
            </w:pPr>
            <w:r>
              <w:rPr>
                <w:rFonts w:hint="eastAsia" w:ascii="仿宋_GB2312" w:hAnsi="华文仿宋" w:eastAsia="仿宋_GB2312" w:cs="仿宋"/>
                <w:sz w:val="20"/>
                <w:szCs w:val="20"/>
                <w:lang w:val="zh-CN"/>
              </w:rPr>
              <w:t>集体（窦晨 孙彦德 程增宾 安鹏 史先涛 程瑞 粘轶锋 梁涛 曹一鸣  马晗雁 王迪</w:t>
            </w:r>
          </w:p>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ascii="仿宋_GB2312" w:hAnsi="华文仿宋" w:eastAsia="仿宋_GB2312" w:cs="仿宋"/>
                <w:sz w:val="28"/>
                <w:szCs w:val="28"/>
                <w:lang w:val="zh-CN"/>
              </w:rPr>
            </w:pPr>
            <w:r>
              <w:rPr>
                <w:rFonts w:hint="eastAsia" w:ascii="仿宋_GB2312" w:hAnsi="华文仿宋" w:eastAsia="仿宋_GB2312" w:cs="仿宋"/>
                <w:sz w:val="20"/>
                <w:szCs w:val="20"/>
                <w:lang w:val="zh-CN"/>
              </w:rPr>
              <w:t>赵宇鹏 洪慕瑄 凡帅帅 何娟 袁亮 李琦 洪漫 曹卫国 沈建 何冰 聂力涛  魏良磊 范力民）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0" w:hRule="exact"/>
          <w:jc w:val="center"/>
        </w:trPr>
        <w:tc>
          <w:tcPr>
            <w:tcW w:w="1148" w:type="dxa"/>
            <w:vAlign w:val="center"/>
          </w:tcPr>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作采</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品编</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简过</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介程</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059" w:type="dxa"/>
            <w:gridSpan w:val="4"/>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仿宋" w:hAnsi="仿宋" w:eastAsia="仿宋"/>
                <w:szCs w:val="21"/>
              </w:rPr>
            </w:pPr>
            <w:r>
              <w:rPr>
                <w:rFonts w:hint="eastAsia" w:ascii="仿宋" w:hAnsi="仿宋" w:eastAsia="仿宋"/>
                <w:szCs w:val="21"/>
              </w:rPr>
              <w:t>讲好中国故事、传播好中国声音，是习近平总书记对加强国际传播能力建设提出的明确要求。为落实习总书记“讲好中国故事”的指示，《参考消息》编辑部与各文种以及地方分社和海外分社加大合作力度，整合优势，于2022年1月4日开设 “中国故事世界说”栏目，以一种新的角度、新的形式讲述中国故事。其中，2023年该栏目共刊登稿件123篇，并同时转化为新媒体稿件，部分稿件还制作成视频，向读者全方位呈现了世界媒体眼中中国故事的魅力，引发读者广泛共鸣。</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ascii="仿宋" w:hAnsi="仿宋" w:eastAsia="仿宋"/>
                <w:szCs w:val="21"/>
              </w:rPr>
            </w:pPr>
            <w:r>
              <w:rPr>
                <w:rFonts w:hint="eastAsia" w:ascii="仿宋" w:hAnsi="仿宋" w:eastAsia="仿宋"/>
                <w:szCs w:val="21"/>
              </w:rPr>
              <w:t xml:space="preserve">  1．实现“中国人看世界”和“外国人如何看中国”有机联通。新时代的中国正阔步走进世界舞台“高光地带”，中国提出了与美欧不一样的人类文明共同体这样的世界发展理念，世界从未像今天这样渴望倾听中国、了解中国。《美前高官时隔3年再来华 “到访之后才知道中国有多厉害”》《德国的共产党国际关系书记访华后撰文称 中共带领人民满怀信心地前进》《中国“油画村”实现华丽转身》《碳足迹小程序吸引中国人参与减排》等稿件以他视角解码中国发展奥秘。中国发展成就有目共睹，中国到底有何秘诀？对广大发展中国家有何启示？新时代中国的时代特征是什么？中国百姓美丽生活新风尚……“中国故事世界说”栏目稿件充分反映世界眼中的中国奇迹和对中国社会的独特思考。</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ascii="仿宋" w:hAnsi="仿宋" w:eastAsia="仿宋"/>
                <w:szCs w:val="21"/>
              </w:rPr>
            </w:pPr>
            <w:r>
              <w:rPr>
                <w:rFonts w:hint="eastAsia" w:ascii="仿宋" w:hAnsi="仿宋" w:eastAsia="仿宋"/>
                <w:szCs w:val="21"/>
              </w:rPr>
              <w:t xml:space="preserve">   2.突出“世界视野”、“海外视角”和“借嘴说话”，依托参考消息报社丰富的海外媒体选译编经验、现代化的舆情大数据监测分析系统以及遍布全球的采编网络，搜集、整理、呈现来自世界媒体讲述的中国故事。打破英语媒体“一言堂”的局面，放大发展中国家和非英语媒体的客观理性声音，乌干达《新景报》、南非独立在线网站、巴西《论坛》杂志、孟加拉国《金融快报》和法国《世界报》等媒体都有选取，真正做到了“世界说”中国故事、融通中外、情感共鸣。</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ascii="仿宋" w:hAnsi="仿宋" w:eastAsia="仿宋"/>
                <w:szCs w:val="21"/>
              </w:rPr>
            </w:pPr>
            <w:r>
              <w:rPr>
                <w:rFonts w:hint="eastAsia" w:ascii="仿宋" w:hAnsi="仿宋" w:eastAsia="仿宋"/>
                <w:szCs w:val="21"/>
              </w:rPr>
              <w:t xml:space="preserve">    3.打通内外资源，发挥新华社驻外记者优势，加强议题设置和稿件策划，增强报道的针对性和鲜活性。和故事性。通过驻外记</w:t>
            </w:r>
            <w:bookmarkStart w:id="0" w:name="_GoBack"/>
            <w:bookmarkEnd w:id="0"/>
            <w:r>
              <w:rPr>
                <w:rFonts w:hint="eastAsia" w:ascii="仿宋" w:hAnsi="仿宋" w:eastAsia="仿宋"/>
                <w:szCs w:val="21"/>
              </w:rPr>
              <w:t>者实地采访、切身感受和境外受访人员的嘴讲述中国如何践行人类命运共同体理念，如何将中国健康和科技公共产品用于推进发展中国家发展。这些报道以事实说话，用数据说话，有效批驳了外媒对中国的歪曲和不实报道。</w:t>
            </w:r>
          </w:p>
          <w:p>
            <w:pPr>
              <w:spacing w:before="95" w:line="190" w:lineRule="auto"/>
              <w:ind w:left="191" w:right="281" w:firstLine="329"/>
              <w:rPr>
                <w:rFonts w:ascii="仿宋" w:hAnsi="仿宋" w:eastAsia="仿宋"/>
                <w:w w:val="9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1" w:hRule="exact"/>
          <w:jc w:val="center"/>
        </w:trPr>
        <w:tc>
          <w:tcPr>
            <w:tcW w:w="1148" w:type="dxa"/>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社</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会</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效</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8059" w:type="dxa"/>
            <w:gridSpan w:val="4"/>
          </w:tcPr>
          <w:p>
            <w:pPr>
              <w:widowControl w:val="0"/>
              <w:ind w:firstLine="420"/>
              <w:rPr>
                <w:rFonts w:hint="eastAsia" w:ascii="仿宋" w:hAnsi="仿宋" w:eastAsia="仿宋"/>
                <w:szCs w:val="21"/>
              </w:rPr>
            </w:pPr>
            <w:r>
              <w:rPr>
                <w:rFonts w:hint="eastAsia" w:ascii="仿宋" w:hAnsi="仿宋" w:eastAsia="仿宋"/>
                <w:szCs w:val="21"/>
              </w:rPr>
              <w:t>《参考消息》推出“中国故事世界说”栏目内容详实、视角独特，增强了《参考消息》报道的镜鉴性、参考性和故事性，受到业内专家和广大读者的高度肯定。</w:t>
            </w:r>
          </w:p>
          <w:p>
            <w:pPr>
              <w:widowControl w:val="0"/>
              <w:ind w:firstLine="420"/>
              <w:rPr>
                <w:rFonts w:hint="eastAsia" w:ascii="仿宋" w:hAnsi="仿宋" w:eastAsia="仿宋"/>
                <w:szCs w:val="21"/>
              </w:rPr>
            </w:pPr>
            <w:r>
              <w:rPr>
                <w:rFonts w:hint="eastAsia" w:ascii="仿宋" w:hAnsi="仿宋" w:eastAsia="仿宋"/>
                <w:szCs w:val="21"/>
              </w:rPr>
              <w:t>与此同时，2023年该栏目的123条稿件同时在新华社客户端、参考消息客户端及网站 、还有参考消息微信公众号等新媒体端口以全新形式精彩呈现。其中不少稿件被众多渠道号、门户网站和媒体公号转载，引发网友数以万计的热烈评论。</w:t>
            </w:r>
          </w:p>
          <w:p>
            <w:pPr>
              <w:widowControl w:val="0"/>
              <w:ind w:firstLine="420"/>
              <w:rPr>
                <w:rFonts w:ascii="仿宋" w:hAnsi="仿宋" w:eastAsia="仿宋"/>
                <w:szCs w:val="21"/>
              </w:rPr>
            </w:pPr>
            <w:r>
              <w:rPr>
                <w:rFonts w:hint="eastAsia" w:ascii="仿宋" w:hAnsi="仿宋" w:eastAsia="仿宋"/>
                <w:szCs w:val="21"/>
              </w:rPr>
              <w:t>此外， 一些相关稿件还由文字产品转化为其他形式的新媒体稿件。《俄媒报道 俄小伙拍视频讲述中国乡村生活》《新媒文章 “村BA”火爆凸显中国乡村活力》等稿件经与参考消息视频部门连动合作生产了视频产品，以更加生动的形式、高度感染力和视觉穿透力引发受众共鸣，起到了更好的传播效力。体现出传统纸媒与新媒体双箭齐发、同频共振的融合传播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jc w:val="center"/>
        </w:trPr>
        <w:tc>
          <w:tcPr>
            <w:tcW w:w="1148" w:type="dxa"/>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初推</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评荐</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评理</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语由</w:t>
            </w:r>
          </w:p>
          <w:p>
            <w:pPr>
              <w:widowControl w:val="0"/>
              <w:spacing w:line="340" w:lineRule="exact"/>
              <w:rPr>
                <w:rFonts w:ascii="华文中宋" w:hAnsi="华文中宋" w:eastAsia="华文中宋"/>
                <w:sz w:val="28"/>
              </w:rPr>
            </w:pPr>
            <w:r>
              <w:rPr>
                <w:rFonts w:hint="eastAsia" w:ascii="华文中宋" w:hAnsi="华文中宋" w:eastAsia="华文中宋"/>
                <w:sz w:val="28"/>
              </w:rPr>
              <w:t xml:space="preserve">  ︶</w:t>
            </w:r>
          </w:p>
        </w:tc>
        <w:tc>
          <w:tcPr>
            <w:tcW w:w="8059" w:type="dxa"/>
            <w:gridSpan w:val="4"/>
          </w:tcPr>
          <w:p>
            <w:pPr>
              <w:widowControl w:val="0"/>
              <w:ind w:firstLine="420"/>
              <w:jc w:val="both"/>
              <w:rPr>
                <w:rFonts w:ascii="仿宋" w:hAnsi="仿宋" w:eastAsia="仿宋"/>
                <w:szCs w:val="21"/>
              </w:rPr>
            </w:pPr>
            <w:r>
              <w:rPr>
                <w:rFonts w:hint="eastAsia" w:ascii="仿宋" w:hAnsi="仿宋" w:eastAsia="仿宋"/>
                <w:szCs w:val="21"/>
              </w:rPr>
              <w:t>“中国故事世界说”栏目通过小切口、微观察、借嘴说的方式突出国际视野，记录海外人士讲述的中国故事，很好地落实了中央对讲好中国故事的要求。“中国故事世界说”栏目讲述了中外交流、中国发展给当地人民生活带去向好变化的故事；讲述了地方发展，以乡村振兴和打造特色经济增长点的故事；讲述了以年轻人老年人生活新风尚和国潮为代表的社会可喜变迁的故事；讲述了以新技术、新亮点、环境友好型技术发展为特点的创新驱动故事；也讲述了中国企业闯荡世界的故事、外国人在华生活点滴细节感悟的故事……细腻的笔触，映射出宏大叙事，讲述了一个个活力满满热气腾腾的中国发展故事。</w:t>
            </w:r>
          </w:p>
          <w:p>
            <w:pPr>
              <w:widowControl w:val="0"/>
              <w:ind w:firstLine="420"/>
              <w:jc w:val="both"/>
              <w:rPr>
                <w:rFonts w:hint="eastAsia" w:ascii="仿宋" w:hAnsi="仿宋" w:eastAsia="仿宋"/>
                <w:szCs w:val="21"/>
              </w:rPr>
            </w:pPr>
            <w:r>
              <w:rPr>
                <w:rFonts w:hint="eastAsia" w:ascii="仿宋" w:hAnsi="仿宋" w:eastAsia="仿宋"/>
                <w:szCs w:val="21"/>
              </w:rPr>
              <w:t>初评委员会认为该栏目为讲好中国故事发挥了特殊作用，作出了独特贡献。</w:t>
            </w:r>
          </w:p>
          <w:p>
            <w:pPr>
              <w:widowControl w:val="0"/>
              <w:ind w:firstLine="420"/>
              <w:jc w:val="both"/>
              <w:rPr>
                <w:rFonts w:ascii="仿宋" w:hAnsi="仿宋" w:eastAsia="仿宋"/>
                <w:szCs w:val="21"/>
              </w:rPr>
            </w:pPr>
            <w:r>
              <w:rPr>
                <w:rFonts w:ascii="仿宋" w:hAnsi="仿宋" w:eastAsia="仿宋"/>
                <w:szCs w:val="21"/>
              </w:rPr>
              <w:t xml:space="preserve">    </w:t>
            </w:r>
          </w:p>
          <w:p>
            <w:pPr>
              <w:widowControl w:val="0"/>
              <w:spacing w:line="360" w:lineRule="exact"/>
              <w:ind w:firstLine="3864" w:firstLineChars="1400"/>
              <w:rPr>
                <w:rFonts w:ascii="华文中宋" w:hAnsi="华文中宋" w:eastAsia="华文中宋"/>
                <w:spacing w:val="-2"/>
                <w:sz w:val="28"/>
                <w:szCs w:val="20"/>
              </w:rPr>
            </w:pPr>
            <w:r>
              <w:rPr>
                <w:rFonts w:hint="eastAsia" w:ascii="华文中宋" w:hAnsi="华文中宋" w:eastAsia="华文中宋"/>
                <w:spacing w:val="-2"/>
                <w:sz w:val="28"/>
              </w:rPr>
              <w:t>签名：</w:t>
            </w:r>
          </w:p>
          <w:p>
            <w:pPr>
              <w:widowControl w:val="0"/>
              <w:spacing w:line="360" w:lineRule="exact"/>
              <w:ind w:firstLine="5460" w:firstLineChars="1950"/>
              <w:rPr>
                <w:rFonts w:ascii="华文中宋" w:hAnsi="华文中宋" w:eastAsia="华文中宋"/>
                <w:sz w:val="28"/>
              </w:rPr>
            </w:pPr>
            <w:r>
              <w:rPr>
                <w:rFonts w:hint="eastAsia" w:ascii="华文中宋" w:hAnsi="华文中宋" w:eastAsia="华文中宋"/>
                <w:sz w:val="28"/>
              </w:rPr>
              <w:t>（盖单位公章）</w:t>
            </w:r>
          </w:p>
          <w:p>
            <w:pPr>
              <w:widowControl w:val="0"/>
              <w:rPr>
                <w:rFonts w:ascii="仿宋" w:hAnsi="仿宋" w:eastAsia="仿宋"/>
                <w:szCs w:val="21"/>
              </w:rPr>
            </w:pPr>
            <w:r>
              <w:rPr>
                <w:rFonts w:hint="eastAsia" w:ascii="仿宋_GB2312" w:eastAsia="仿宋_GB2312"/>
                <w:sz w:val="28"/>
              </w:rPr>
              <w:t xml:space="preserve">                                    </w:t>
            </w:r>
            <w:r>
              <w:rPr>
                <w:rFonts w:hint="eastAsia" w:ascii="华文中宋" w:hAnsi="华文中宋" w:eastAsia="华文中宋"/>
                <w:sz w:val="28"/>
              </w:rPr>
              <w:t>2024年  月  日</w:t>
            </w:r>
          </w:p>
        </w:tc>
      </w:tr>
    </w:tbl>
    <w:p>
      <w:pPr>
        <w:widowControl w:val="0"/>
        <w:autoSpaceDE w:val="0"/>
        <w:autoSpaceDN w:val="0"/>
        <w:adjustRightInd w:val="0"/>
        <w:spacing w:line="420" w:lineRule="exact"/>
        <w:jc w:val="both"/>
        <w:rPr>
          <w:rFonts w:ascii="楷体" w:hAnsi="楷体" w:eastAsia="楷体"/>
          <w:b/>
          <w:bCs/>
          <w:sz w:val="28"/>
          <w:szCs w:val="28"/>
        </w:rPr>
      </w:pPr>
      <w:r>
        <w:rPr>
          <w:rFonts w:ascii="楷体" w:hAnsi="楷体" w:eastAsia="楷体"/>
          <w:sz w:val="24"/>
          <w:szCs w:val="24"/>
        </w:rPr>
        <w:br w:type="page"/>
      </w:r>
      <w:r>
        <w:rPr>
          <w:rFonts w:hint="eastAsia" w:ascii="楷体" w:hAnsi="楷体" w:eastAsia="楷体"/>
          <w:b/>
          <w:bCs/>
          <w:sz w:val="28"/>
          <w:szCs w:val="28"/>
        </w:rPr>
        <w:t xml:space="preserve">附件4 </w:t>
      </w:r>
    </w:p>
    <w:p>
      <w:pPr>
        <w:widowControl w:val="0"/>
        <w:autoSpaceDE w:val="0"/>
        <w:autoSpaceDN w:val="0"/>
        <w:adjustRightInd w:val="0"/>
        <w:spacing w:line="420" w:lineRule="exact"/>
        <w:jc w:val="both"/>
        <w:rPr>
          <w:rFonts w:ascii="楷体" w:hAnsi="楷体" w:eastAsia="楷体"/>
          <w:b/>
          <w:bCs/>
          <w:sz w:val="28"/>
          <w:szCs w:val="28"/>
        </w:rPr>
      </w:pPr>
    </w:p>
    <w:p>
      <w:pPr>
        <w:widowControl w:val="0"/>
        <w:spacing w:line="560" w:lineRule="exact"/>
        <w:jc w:val="center"/>
        <w:rPr>
          <w:rFonts w:ascii="华文中宋" w:hAnsi="华文中宋" w:eastAsia="华文中宋"/>
          <w:sz w:val="32"/>
          <w:szCs w:val="32"/>
        </w:rPr>
      </w:pPr>
      <w:r>
        <w:rPr>
          <w:rFonts w:hint="eastAsia" w:ascii="方正小标宋简体" w:hAnsi="华文中宋" w:eastAsia="方正小标宋简体"/>
          <w:sz w:val="40"/>
          <w:szCs w:val="32"/>
        </w:rPr>
        <w:t>中国新闻奖报纸、通讯社新闻专栏代表作基本情况（上半年）</w:t>
      </w:r>
    </w:p>
    <w:p>
      <w:pPr>
        <w:widowControl w:val="0"/>
        <w:autoSpaceDE w:val="0"/>
        <w:autoSpaceDN w:val="0"/>
        <w:adjustRightInd w:val="0"/>
        <w:spacing w:line="200" w:lineRule="exact"/>
        <w:jc w:val="both"/>
        <w:rPr>
          <w:rFonts w:ascii="仿宋_GB2312" w:hAnsi="仿宋" w:eastAsia="仿宋_GB2312" w:cs="华文中宋"/>
          <w:sz w:val="24"/>
          <w:szCs w:val="24"/>
        </w:rPr>
      </w:pPr>
    </w:p>
    <w:tbl>
      <w:tblPr>
        <w:tblStyle w:val="2"/>
        <w:tblW w:w="8534" w:type="dxa"/>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88"/>
        <w:gridCol w:w="69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1588" w:type="dxa"/>
          </w:tcPr>
          <w:p>
            <w:pPr>
              <w:pStyle w:val="4"/>
              <w:spacing w:before="132"/>
              <w:ind w:left="261"/>
              <w:rPr>
                <w:rFonts w:ascii="华文中宋" w:eastAsia="华文中宋"/>
                <w:sz w:val="28"/>
              </w:rPr>
            </w:pPr>
            <w:r>
              <w:rPr>
                <w:rFonts w:hint="eastAsia" w:ascii="华文中宋" w:eastAsia="华文中宋"/>
                <w:sz w:val="28"/>
              </w:rPr>
              <w:t>作品标题</w:t>
            </w:r>
          </w:p>
        </w:tc>
        <w:tc>
          <w:tcPr>
            <w:tcW w:w="6946" w:type="dxa"/>
          </w:tcPr>
          <w:p>
            <w:pPr>
              <w:pStyle w:val="4"/>
              <w:rPr>
                <w:rFonts w:ascii="Times New Roman"/>
                <w:sz w:val="30"/>
              </w:rPr>
            </w:pPr>
            <w:r>
              <w:rPr>
                <w:rFonts w:hint="eastAsia" w:ascii="Times New Roman"/>
                <w:sz w:val="30"/>
              </w:rPr>
              <w:t>《巴媒文章  “未来之城”雄安正迅速发展》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1588" w:type="dxa"/>
          </w:tcPr>
          <w:p>
            <w:pPr>
              <w:pStyle w:val="4"/>
              <w:spacing w:before="132"/>
              <w:ind w:left="261"/>
              <w:rPr>
                <w:rFonts w:ascii="华文中宋" w:eastAsia="华文中宋"/>
                <w:sz w:val="28"/>
              </w:rPr>
            </w:pPr>
            <w:r>
              <w:rPr>
                <w:rFonts w:hint="eastAsia" w:ascii="华文中宋" w:eastAsia="华文中宋"/>
                <w:sz w:val="28"/>
              </w:rPr>
              <w:t>发表日期</w:t>
            </w:r>
          </w:p>
        </w:tc>
        <w:tc>
          <w:tcPr>
            <w:tcW w:w="6946" w:type="dxa"/>
          </w:tcPr>
          <w:p>
            <w:pPr>
              <w:pStyle w:val="4"/>
              <w:tabs>
                <w:tab w:val="left" w:pos="1410"/>
                <w:tab w:val="left" w:pos="2250"/>
              </w:tabs>
              <w:spacing w:before="221"/>
              <w:ind w:left="10"/>
              <w:jc w:val="center"/>
              <w:rPr>
                <w:sz w:val="28"/>
              </w:rPr>
            </w:pPr>
            <w:r>
              <w:rPr>
                <w:sz w:val="28"/>
              </w:rPr>
              <w:t>202</w:t>
            </w:r>
            <w:r>
              <w:rPr>
                <w:rFonts w:hint="eastAsia"/>
                <w:sz w:val="28"/>
                <w:lang w:val="en-US"/>
              </w:rPr>
              <w:t>3</w:t>
            </w:r>
            <w:r>
              <w:rPr>
                <w:sz w:val="28"/>
              </w:rPr>
              <w:t>年</w:t>
            </w:r>
            <w:r>
              <w:rPr>
                <w:rFonts w:hint="eastAsia"/>
                <w:sz w:val="28"/>
              </w:rPr>
              <w:t>4</w:t>
            </w:r>
            <w:r>
              <w:rPr>
                <w:sz w:val="28"/>
              </w:rPr>
              <w:tab/>
            </w:r>
            <w:r>
              <w:rPr>
                <w:sz w:val="28"/>
              </w:rPr>
              <w:t>月</w:t>
            </w:r>
            <w:r>
              <w:rPr>
                <w:rFonts w:hint="eastAsia"/>
                <w:sz w:val="28"/>
              </w:rPr>
              <w:t>4</w:t>
            </w:r>
            <w:r>
              <w:rPr>
                <w:sz w:val="28"/>
              </w:rPr>
              <w:tab/>
            </w:r>
            <w:r>
              <w:rPr>
                <w:sz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3" w:hRule="atLeast"/>
        </w:trPr>
        <w:tc>
          <w:tcPr>
            <w:tcW w:w="1588" w:type="dxa"/>
          </w:tcPr>
          <w:p>
            <w:pPr>
              <w:pStyle w:val="4"/>
              <w:spacing w:before="2"/>
              <w:jc w:val="center"/>
              <w:rPr>
                <w:rFonts w:ascii="华文中宋"/>
                <w:sz w:val="32"/>
              </w:rPr>
            </w:pPr>
          </w:p>
          <w:p>
            <w:pPr>
              <w:pStyle w:val="4"/>
              <w:spacing w:line="216" w:lineRule="auto"/>
              <w:ind w:left="345" w:right="331"/>
              <w:jc w:val="center"/>
              <w:rPr>
                <w:rFonts w:ascii="华文中宋" w:eastAsia="华文中宋"/>
                <w:sz w:val="28"/>
              </w:rPr>
            </w:pPr>
            <w:r>
              <w:rPr>
                <w:rFonts w:hint="eastAsia" w:ascii="华文中宋" w:eastAsia="华文中宋"/>
                <w:sz w:val="28"/>
              </w:rPr>
              <w:t>作品 评介</w:t>
            </w:r>
          </w:p>
        </w:tc>
        <w:tc>
          <w:tcPr>
            <w:tcW w:w="6946" w:type="dxa"/>
          </w:tcPr>
          <w:p>
            <w:pPr>
              <w:pStyle w:val="4"/>
              <w:ind w:firstLine="480" w:firstLineChars="200"/>
              <w:rPr>
                <w:rFonts w:ascii="Times New Roman"/>
                <w:sz w:val="24"/>
                <w:szCs w:val="24"/>
              </w:rPr>
            </w:pPr>
            <w:r>
              <w:rPr>
                <w:rFonts w:hint="eastAsia" w:ascii="Times New Roman"/>
                <w:sz w:val="24"/>
                <w:szCs w:val="24"/>
              </w:rPr>
              <w:t>雄安戴着神秘的面纱，为外国媒体所好奇，他们迫切地想知道这里到底在建设的是怎样一个城市，体现了什么样的中国新时代发展理念。巴西《论坛》杂志的该篇报道在《参考消息》报纸刊登，并在参考消息客户端和网站刊播发后点击量达到32万，并被搜狐等门户网站转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1588" w:type="dxa"/>
          </w:tcPr>
          <w:p>
            <w:pPr>
              <w:pStyle w:val="4"/>
              <w:spacing w:before="15"/>
              <w:jc w:val="center"/>
              <w:rPr>
                <w:rFonts w:ascii="华文中宋"/>
                <w:sz w:val="31"/>
              </w:rPr>
            </w:pPr>
          </w:p>
          <w:p>
            <w:pPr>
              <w:pStyle w:val="4"/>
              <w:spacing w:line="216" w:lineRule="auto"/>
              <w:ind w:left="345" w:right="331"/>
              <w:jc w:val="center"/>
              <w:rPr>
                <w:rFonts w:ascii="华文中宋" w:eastAsia="华文中宋"/>
                <w:sz w:val="28"/>
              </w:rPr>
            </w:pPr>
            <w:r>
              <w:rPr>
                <w:rFonts w:hint="eastAsia" w:ascii="华文中宋" w:eastAsia="华文中宋"/>
                <w:sz w:val="28"/>
              </w:rPr>
              <w:t>采编 过程</w:t>
            </w:r>
          </w:p>
        </w:tc>
        <w:tc>
          <w:tcPr>
            <w:tcW w:w="6946" w:type="dxa"/>
          </w:tcPr>
          <w:p>
            <w:pPr>
              <w:pStyle w:val="4"/>
              <w:ind w:firstLine="583"/>
              <w:rPr>
                <w:rFonts w:ascii="Times New Roman"/>
                <w:sz w:val="24"/>
                <w:szCs w:val="24"/>
              </w:rPr>
            </w:pPr>
            <w:r>
              <w:rPr>
                <w:rFonts w:hint="eastAsia" w:ascii="Times New Roman"/>
                <w:sz w:val="24"/>
                <w:szCs w:val="24"/>
              </w:rPr>
              <w:t>雄安，自提出建设之初就体现了高质量发展的理念，从概念的提出到一步步的建设，到底如何了？巴西《论坛》杂志记者亚拉·比达尔带着这个疑问采访撰写了这样一篇稿件，向西班牙语和葡萄牙语受众介绍了对他们来说还很陌生的“未来之城”。这编由参考消息西文翻译室选译、涉华编辑室编辑的稿件，全面介绍了雄安如何体现未来，如何“把每一寸土地都规划得清清楚楚后再开工建设，不要留历史遗憾”。</w:t>
            </w:r>
          </w:p>
          <w:p>
            <w:pPr>
              <w:pStyle w:val="4"/>
              <w:ind w:firstLine="583"/>
              <w:rPr>
                <w:rFonts w:ascii="Times New Roman"/>
                <w:sz w:val="24"/>
                <w:szCs w:val="24"/>
              </w:rPr>
            </w:pPr>
            <w:r>
              <w:rPr>
                <w:rFonts w:hint="eastAsia" w:ascii="Times New Roman"/>
                <w:sz w:val="24"/>
                <w:szCs w:val="24"/>
              </w:rPr>
              <w:t>此条稿件在报纸上刊登后得到了河北方面的反馈，并在参考消息网站和客户端播发后引发了读者的反响。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1" w:hRule="atLeast"/>
        </w:trPr>
        <w:tc>
          <w:tcPr>
            <w:tcW w:w="1588" w:type="dxa"/>
          </w:tcPr>
          <w:p>
            <w:pPr>
              <w:pStyle w:val="4"/>
              <w:jc w:val="center"/>
              <w:rPr>
                <w:rFonts w:ascii="华文中宋"/>
                <w:sz w:val="32"/>
              </w:rPr>
            </w:pPr>
          </w:p>
          <w:p>
            <w:pPr>
              <w:pStyle w:val="4"/>
              <w:spacing w:line="216" w:lineRule="auto"/>
              <w:ind w:left="345" w:right="331"/>
              <w:jc w:val="center"/>
              <w:rPr>
                <w:rFonts w:ascii="华文中宋" w:eastAsia="华文中宋"/>
                <w:sz w:val="28"/>
              </w:rPr>
            </w:pPr>
            <w:r>
              <w:rPr>
                <w:rFonts w:hint="eastAsia" w:ascii="华文中宋" w:eastAsia="华文中宋"/>
                <w:sz w:val="28"/>
              </w:rPr>
              <w:t>社会</w:t>
            </w:r>
          </w:p>
          <w:p>
            <w:pPr>
              <w:pStyle w:val="4"/>
              <w:spacing w:line="216" w:lineRule="auto"/>
              <w:ind w:left="345" w:right="331"/>
              <w:jc w:val="center"/>
              <w:rPr>
                <w:rFonts w:ascii="华文中宋" w:eastAsia="华文中宋"/>
                <w:sz w:val="28"/>
              </w:rPr>
            </w:pPr>
            <w:r>
              <w:rPr>
                <w:rFonts w:hint="eastAsia" w:ascii="华文中宋" w:eastAsia="华文中宋"/>
                <w:sz w:val="28"/>
              </w:rPr>
              <w:t>效果</w:t>
            </w:r>
          </w:p>
        </w:tc>
        <w:tc>
          <w:tcPr>
            <w:tcW w:w="6946" w:type="dxa"/>
          </w:tcPr>
          <w:p>
            <w:pPr>
              <w:pStyle w:val="4"/>
              <w:rPr>
                <w:rFonts w:ascii="Times New Roman"/>
                <w:sz w:val="24"/>
                <w:szCs w:val="24"/>
              </w:rPr>
            </w:pPr>
            <w:r>
              <w:rPr>
                <w:rFonts w:hint="eastAsia" w:ascii="Times New Roman"/>
                <w:sz w:val="30"/>
              </w:rPr>
              <w:t xml:space="preserve"> </w:t>
            </w:r>
            <w:r>
              <w:rPr>
                <w:rFonts w:ascii="Times New Roman"/>
                <w:sz w:val="30"/>
              </w:rPr>
              <w:t xml:space="preserve">  </w:t>
            </w:r>
            <w:r>
              <w:rPr>
                <w:rFonts w:hint="eastAsia" w:ascii="Times New Roman"/>
                <w:sz w:val="24"/>
                <w:szCs w:val="24"/>
              </w:rPr>
              <w:t>仅中国故事世界说栏目在2023年就刊登了数条不同国家媒体的有关雄安的稿件，如俄罗斯自由媒体网的《雄安-——中国在建的前所未有的特大未来城市》等。巴西《论坛》杂志网站这篇文章显然是写给巴西受众看的，从雄安立项到今天如何规划、如何布局、如何承接北京企业和如何吸引高新人才，如何以区块链和计算力建设践行高质量发展，如何体现高水平对外开放，如何打造一个有设计感的城市进行了全方位介绍，相信外国受众看完一定想去雄安看一看。　</w:t>
            </w:r>
          </w:p>
        </w:tc>
      </w:tr>
    </w:tbl>
    <w:p>
      <w:pPr>
        <w:widowControl w:val="0"/>
        <w:rPr>
          <w:rFonts w:ascii="楷体" w:hAnsi="楷体" w:eastAsia="楷体"/>
          <w:sz w:val="28"/>
        </w:rPr>
      </w:pPr>
      <w:r>
        <w:rPr>
          <w:rFonts w:hint="eastAsia" w:ascii="楷体" w:hAnsi="楷体" w:eastAsia="楷体"/>
          <w:sz w:val="28"/>
        </w:rPr>
        <w:t>此表可从中国记协网www.zgjx.cn下载，上、下半年代表作前各附1张。</w:t>
      </w:r>
    </w:p>
    <w:p>
      <w:pPr>
        <w:widowControl w:val="0"/>
        <w:autoSpaceDE w:val="0"/>
        <w:autoSpaceDN w:val="0"/>
        <w:adjustRightInd w:val="0"/>
        <w:spacing w:line="420" w:lineRule="exact"/>
        <w:jc w:val="both"/>
        <w:rPr>
          <w:rFonts w:ascii="楷体" w:hAnsi="楷体" w:eastAsia="楷体"/>
          <w:b/>
          <w:bCs/>
          <w:sz w:val="28"/>
          <w:szCs w:val="28"/>
        </w:rPr>
      </w:pPr>
    </w:p>
    <w:p>
      <w:pPr>
        <w:widowControl w:val="0"/>
        <w:autoSpaceDE w:val="0"/>
        <w:autoSpaceDN w:val="0"/>
        <w:adjustRightInd w:val="0"/>
        <w:spacing w:line="420" w:lineRule="exact"/>
        <w:jc w:val="both"/>
        <w:rPr>
          <w:rFonts w:ascii="楷体" w:hAnsi="楷体" w:eastAsia="楷体"/>
          <w:b/>
          <w:bCs/>
          <w:sz w:val="28"/>
          <w:szCs w:val="28"/>
        </w:rPr>
      </w:pPr>
    </w:p>
    <w:p>
      <w:pPr>
        <w:rPr>
          <w:sz w:val="24"/>
          <w:szCs w:val="24"/>
        </w:rPr>
      </w:pPr>
      <w:r>
        <w:rPr>
          <w:rFonts w:hint="eastAsia"/>
          <w:sz w:val="24"/>
          <w:szCs w:val="24"/>
        </w:rPr>
        <w:t>【上半年代表作文字稿】</w:t>
      </w:r>
    </w:p>
    <w:p>
      <w:pPr>
        <w:rPr>
          <w:rFonts w:hint="eastAsia"/>
          <w:sz w:val="24"/>
          <w:szCs w:val="24"/>
        </w:rPr>
      </w:pPr>
    </w:p>
    <w:p>
      <w:pPr>
        <w:ind w:firstLine="1200" w:firstLineChars="400"/>
        <w:rPr>
          <w:rFonts w:hint="eastAsia"/>
          <w:sz w:val="30"/>
          <w:szCs w:val="30"/>
        </w:rPr>
      </w:pPr>
      <w:r>
        <w:rPr>
          <w:rFonts w:hint="eastAsia"/>
          <w:sz w:val="30"/>
          <w:szCs w:val="30"/>
        </w:rPr>
        <w:t>“未来之城”雄安正迅速发展</w:t>
      </w:r>
    </w:p>
    <w:p>
      <w:pPr>
        <w:ind w:firstLine="1260" w:firstLineChars="600"/>
        <w:rPr>
          <w:rFonts w:hint="eastAsia"/>
        </w:rPr>
      </w:pPr>
      <w:r>
        <w:rPr>
          <w:rFonts w:hint="eastAsia"/>
        </w:rPr>
        <w:t xml:space="preserve">日期：2023-04-04 星期二 </w:t>
      </w:r>
    </w:p>
    <w:p/>
    <w:p/>
    <w:p/>
    <w:p>
      <w:pPr>
        <w:rPr>
          <w:rFonts w:hint="eastAsia"/>
          <w:sz w:val="28"/>
          <w:szCs w:val="28"/>
        </w:rPr>
      </w:pPr>
      <w:r>
        <w:rPr>
          <w:rFonts w:hint="eastAsia"/>
        </w:rPr>
        <w:t>　　</w:t>
      </w:r>
      <w:r>
        <w:rPr>
          <w:rFonts w:hint="eastAsia"/>
          <w:sz w:val="28"/>
          <w:szCs w:val="28"/>
        </w:rPr>
        <w:t>　【巴西《论坛》杂志网站4月2日文章】题：认识雄安：中国的一座未来之城（作者 亚拉·比达尔）</w:t>
      </w:r>
    </w:p>
    <w:p>
      <w:pPr>
        <w:rPr>
          <w:rFonts w:hint="eastAsia"/>
          <w:sz w:val="28"/>
          <w:szCs w:val="28"/>
        </w:rPr>
      </w:pPr>
      <w:r>
        <w:rPr>
          <w:rFonts w:hint="eastAsia"/>
          <w:sz w:val="28"/>
          <w:szCs w:val="28"/>
        </w:rPr>
        <w:t>　　六年前，2017年4月1日，中国宣布在北方省份河北设立雄安新区，以将该国首都北京从非必要的功能中解放出来，并促进京津冀地区协调发展。</w:t>
      </w:r>
    </w:p>
    <w:p>
      <w:pPr>
        <w:rPr>
          <w:rFonts w:hint="eastAsia"/>
          <w:sz w:val="28"/>
          <w:szCs w:val="28"/>
        </w:rPr>
      </w:pPr>
      <w:r>
        <w:rPr>
          <w:rFonts w:hint="eastAsia"/>
          <w:sz w:val="28"/>
          <w:szCs w:val="28"/>
        </w:rPr>
        <w:t>　　从那时至今，“未来之城”雄安已迅速发展起来。中国国内和国外200多个团队、3500多名专家和技术人员参与了雄安新区的总体规划。该新区设立以来，一直坚持“把每一寸土地都规划得清清楚楚后再开工建设，不要留历史遗憾”。</w:t>
      </w:r>
    </w:p>
    <w:p>
      <w:pPr>
        <w:rPr>
          <w:rFonts w:hint="eastAsia"/>
          <w:sz w:val="28"/>
          <w:szCs w:val="28"/>
        </w:rPr>
      </w:pPr>
      <w:r>
        <w:rPr>
          <w:rFonts w:hint="eastAsia"/>
          <w:sz w:val="28"/>
          <w:szCs w:val="28"/>
        </w:rPr>
        <w:t>　　雄安新区位于北京以南100多公里处，是继深圳经济特区和上海浦东新区之后又一个具有全国意义的新区。</w:t>
      </w:r>
    </w:p>
    <w:p>
      <w:pPr>
        <w:rPr>
          <w:rFonts w:hint="eastAsia"/>
          <w:sz w:val="28"/>
          <w:szCs w:val="28"/>
        </w:rPr>
      </w:pPr>
      <w:r>
        <w:rPr>
          <w:rFonts w:hint="eastAsia"/>
          <w:sz w:val="28"/>
          <w:szCs w:val="28"/>
        </w:rPr>
        <w:t>　　六年来，雄安新区已推进重点项目约240个，累计完成投资5100多亿元人民币。官方信息显示，2023年雄安新区安排项目270个，总投资超过6640亿元，年度投资超过2000亿元。</w:t>
      </w:r>
    </w:p>
    <w:p>
      <w:pPr>
        <w:rPr>
          <w:rFonts w:hint="eastAsia"/>
          <w:sz w:val="28"/>
          <w:szCs w:val="28"/>
        </w:rPr>
      </w:pPr>
      <w:r>
        <w:rPr>
          <w:rFonts w:hint="eastAsia"/>
          <w:sz w:val="28"/>
          <w:szCs w:val="28"/>
        </w:rPr>
        <w:t>　　六年来，该国的中央企业在雄安新区设立了各类机构140多家。</w:t>
      </w:r>
    </w:p>
    <w:p>
      <w:pPr>
        <w:rPr>
          <w:rFonts w:hint="eastAsia"/>
          <w:sz w:val="28"/>
          <w:szCs w:val="28"/>
        </w:rPr>
      </w:pPr>
      <w:r>
        <w:rPr>
          <w:rFonts w:hint="eastAsia"/>
          <w:sz w:val="28"/>
          <w:szCs w:val="28"/>
        </w:rPr>
        <w:t>　　雄安新区第一座标志性城市综合体——雄安新区商务服务中心几个月前正式开业运营，首批40余家企业已经入驻该中心。该中心是接纳从北京迁来的企业和机构的重要城市综合体。金融业务、现代服务和数字经济的产业集群正在那里逐渐形成。</w:t>
      </w:r>
    </w:p>
    <w:p>
      <w:pPr>
        <w:rPr>
          <w:rFonts w:hint="eastAsia"/>
          <w:sz w:val="28"/>
          <w:szCs w:val="28"/>
        </w:rPr>
      </w:pPr>
      <w:r>
        <w:rPr>
          <w:rFonts w:hint="eastAsia"/>
          <w:sz w:val="28"/>
          <w:szCs w:val="28"/>
        </w:rPr>
        <w:t>　　截至2022年8月，落户雄安新区的存续企业超过4000家，其中来自北京的企业转移新区注册就有3700余家。</w:t>
      </w:r>
    </w:p>
    <w:p>
      <w:pPr>
        <w:rPr>
          <w:rFonts w:hint="eastAsia"/>
          <w:sz w:val="28"/>
          <w:szCs w:val="28"/>
        </w:rPr>
      </w:pPr>
      <w:r>
        <w:rPr>
          <w:rFonts w:hint="eastAsia"/>
          <w:sz w:val="28"/>
          <w:szCs w:val="28"/>
        </w:rPr>
        <w:t>　　吸引人才是建设雄安新区的关键。雄安新区已引进院士及其他高端领军人才12名，引进规划建设重点领域人才100余名，并选录招聘“双一流”高校人才3000余名。</w:t>
      </w:r>
    </w:p>
    <w:p>
      <w:pPr>
        <w:rPr>
          <w:rFonts w:hint="eastAsia"/>
          <w:sz w:val="28"/>
          <w:szCs w:val="28"/>
        </w:rPr>
      </w:pPr>
      <w:r>
        <w:rPr>
          <w:rFonts w:hint="eastAsia"/>
          <w:sz w:val="28"/>
          <w:szCs w:val="28"/>
        </w:rPr>
        <w:t>　　这座未来之城正在建设成为中国创新驱动发展的示范区。物联网、人工智能、大数据和云计算技术的整合和应用已被强调为该新区规划和设计的关键因素。</w:t>
      </w:r>
    </w:p>
    <w:p>
      <w:pPr>
        <w:rPr>
          <w:rFonts w:hint="eastAsia"/>
          <w:sz w:val="28"/>
          <w:szCs w:val="28"/>
        </w:rPr>
      </w:pPr>
      <w:r>
        <w:rPr>
          <w:rFonts w:hint="eastAsia"/>
          <w:sz w:val="28"/>
          <w:szCs w:val="28"/>
        </w:rPr>
        <w:t>　　2020年，雄安新区区块链实验室正式成立，其使命是研究和应用区块链技术和概念，以建设一个新的智慧城市。</w:t>
      </w:r>
    </w:p>
    <w:p>
      <w:pPr>
        <w:rPr>
          <w:rFonts w:hint="eastAsia"/>
          <w:sz w:val="28"/>
          <w:szCs w:val="28"/>
        </w:rPr>
      </w:pPr>
      <w:r>
        <w:rPr>
          <w:rFonts w:hint="eastAsia"/>
          <w:sz w:val="28"/>
          <w:szCs w:val="28"/>
        </w:rPr>
        <w:t>　　雄安新区还推出了中国首个基于区块链技术的产业平台——雄安新区产业互联网平台。</w:t>
      </w:r>
    </w:p>
    <w:p>
      <w:pPr>
        <w:rPr>
          <w:rFonts w:hint="eastAsia"/>
          <w:sz w:val="28"/>
          <w:szCs w:val="28"/>
        </w:rPr>
      </w:pPr>
      <w:r>
        <w:rPr>
          <w:rFonts w:hint="eastAsia"/>
          <w:sz w:val="28"/>
          <w:szCs w:val="28"/>
        </w:rPr>
        <w:t>　　作为“城市大脑”的雄安城市计算中心，旨在打造集边缘计算、云计算、超级计算于一体的城市计算系统，为大数据、区块链、人工智能、虚拟现实等领域提供计算和存储服务。</w:t>
      </w:r>
    </w:p>
    <w:p>
      <w:pPr>
        <w:rPr>
          <w:rFonts w:hint="eastAsia"/>
          <w:sz w:val="28"/>
          <w:szCs w:val="28"/>
        </w:rPr>
      </w:pPr>
      <w:r>
        <w:rPr>
          <w:rFonts w:hint="eastAsia"/>
          <w:sz w:val="28"/>
          <w:szCs w:val="28"/>
        </w:rPr>
        <w:t>　　除了发挥承接北京非首都功能转移的作用，中国政府还希望雄安新区成为对外开放和国际合作的新高地。</w:t>
      </w:r>
    </w:p>
    <w:p>
      <w:pPr>
        <w:rPr>
          <w:rFonts w:hint="eastAsia"/>
          <w:sz w:val="28"/>
          <w:szCs w:val="28"/>
        </w:rPr>
      </w:pPr>
      <w:r>
        <w:rPr>
          <w:rFonts w:hint="eastAsia"/>
          <w:sz w:val="28"/>
          <w:szCs w:val="28"/>
        </w:rPr>
        <w:t>　　今年1月，河北省政府印发一份文件，包括5个方面20项措施，旨在支持雄安新区开展国际交流合作。这些措施涉及促进贸易往来以及吸引投资、技术和人才等。</w:t>
      </w:r>
    </w:p>
    <w:p>
      <w:pPr>
        <w:rPr>
          <w:rFonts w:hint="eastAsia"/>
          <w:sz w:val="28"/>
          <w:szCs w:val="28"/>
        </w:rPr>
      </w:pPr>
      <w:r>
        <w:rPr>
          <w:rFonts w:hint="eastAsia"/>
          <w:sz w:val="28"/>
          <w:szCs w:val="28"/>
        </w:rPr>
        <w:t>　　雄安新区将被打造为高质量发展的典范和现代经济体系的新引擎。根据《河北雄安新区总体规划（2018-2035年）》，到2035年，将基本建成绿色低碳、开放创新、信息智能、宜居宜业、具有较强竞争力和影响力、人与自然和谐共生的高水平社会主义现代化城市。</w:t>
      </w:r>
    </w:p>
    <w:p>
      <w:pPr>
        <w:rPr>
          <w:rFonts w:hint="eastAsia"/>
          <w:sz w:val="28"/>
          <w:szCs w:val="28"/>
        </w:rPr>
      </w:pPr>
      <w:r>
        <w:rPr>
          <w:rFonts w:hint="eastAsia"/>
          <w:sz w:val="28"/>
          <w:szCs w:val="28"/>
        </w:rPr>
        <w:t>　　随着京雄城际铁路的开通，从北京西站到雄安新区最快仅需50分钟，从京津冀协同发展的又一重要项目——大兴机场至雄安新区最快仅19分钟可达。</w:t>
      </w:r>
    </w:p>
    <w:p>
      <w:pPr>
        <w:rPr>
          <w:rFonts w:hint="eastAsia"/>
          <w:sz w:val="28"/>
          <w:szCs w:val="28"/>
        </w:rPr>
      </w:pPr>
      <w:r>
        <w:rPr>
          <w:rFonts w:hint="eastAsia"/>
          <w:sz w:val="28"/>
          <w:szCs w:val="28"/>
        </w:rPr>
        <w:t>　　与此同时，雄安新区的地下建设也加快推进。在已建成投运的47.6公里地下管廊里，安装了电力、通信、热力、燃气、给水等配套设施。这些地下管廊中布设了近万套前端感知设备，从而实现了视频监控全覆盖。</w:t>
      </w:r>
    </w:p>
    <w:p>
      <w:pPr>
        <w:ind w:firstLine="429"/>
        <w:rPr>
          <w:sz w:val="28"/>
          <w:szCs w:val="28"/>
        </w:rPr>
      </w:pPr>
      <w:r>
        <w:rPr>
          <w:rFonts w:hint="eastAsia"/>
          <w:sz w:val="28"/>
          <w:szCs w:val="28"/>
        </w:rPr>
        <w:t>此外，为提供优质公共服务，总部设在北京的多所大学、医院等机构正在或将在雄安建设分支机构。它们还与该新区的同类机构建立了合作伙伴关系。</w:t>
      </w:r>
    </w:p>
    <w:p>
      <w:pPr>
        <w:widowControl w:val="0"/>
        <w:autoSpaceDE w:val="0"/>
        <w:autoSpaceDN w:val="0"/>
        <w:adjustRightInd w:val="0"/>
        <w:spacing w:line="420" w:lineRule="exact"/>
        <w:jc w:val="both"/>
        <w:rPr>
          <w:rFonts w:ascii="楷体" w:hAnsi="楷体" w:eastAsia="楷体"/>
          <w:b/>
          <w:bCs/>
          <w:sz w:val="28"/>
          <w:szCs w:val="28"/>
        </w:rPr>
      </w:pPr>
    </w:p>
    <w:p>
      <w:pPr>
        <w:widowControl w:val="0"/>
        <w:autoSpaceDE w:val="0"/>
        <w:autoSpaceDN w:val="0"/>
        <w:adjustRightInd w:val="0"/>
        <w:spacing w:line="420" w:lineRule="exact"/>
        <w:jc w:val="both"/>
        <w:rPr>
          <w:rFonts w:ascii="楷体" w:hAnsi="楷体" w:eastAsia="楷体"/>
          <w:b/>
          <w:bCs/>
          <w:sz w:val="28"/>
          <w:szCs w:val="28"/>
        </w:rPr>
      </w:pPr>
      <w:r>
        <w:rPr>
          <w:rFonts w:ascii="楷体" w:hAnsi="楷体" w:eastAsia="楷体"/>
          <w:b/>
          <w:bCs/>
          <w:sz w:val="28"/>
          <w:szCs w:val="28"/>
        </w:rPr>
        <w:br w:type="page"/>
      </w:r>
    </w:p>
    <w:p>
      <w:pPr>
        <w:widowControl w:val="0"/>
        <w:spacing w:line="560" w:lineRule="exact"/>
        <w:jc w:val="center"/>
        <w:rPr>
          <w:rFonts w:ascii="华文中宋" w:hAnsi="华文中宋" w:eastAsia="华文中宋"/>
          <w:sz w:val="32"/>
          <w:szCs w:val="32"/>
        </w:rPr>
      </w:pPr>
      <w:r>
        <w:rPr>
          <w:rFonts w:hint="eastAsia" w:ascii="方正小标宋简体" w:hAnsi="华文中宋" w:eastAsia="方正小标宋简体"/>
          <w:sz w:val="40"/>
          <w:szCs w:val="32"/>
        </w:rPr>
        <w:t>中国新闻奖报纸、通讯社新闻专栏代表作基本情况（下半年）</w:t>
      </w:r>
    </w:p>
    <w:p>
      <w:pPr>
        <w:widowControl w:val="0"/>
        <w:autoSpaceDE w:val="0"/>
        <w:autoSpaceDN w:val="0"/>
        <w:adjustRightInd w:val="0"/>
        <w:spacing w:line="200" w:lineRule="exact"/>
        <w:jc w:val="both"/>
        <w:rPr>
          <w:rFonts w:ascii="仿宋_GB2312" w:hAnsi="仿宋" w:eastAsia="仿宋_GB2312" w:cs="华文中宋"/>
          <w:sz w:val="24"/>
          <w:szCs w:val="24"/>
        </w:rPr>
      </w:pPr>
    </w:p>
    <w:tbl>
      <w:tblPr>
        <w:tblStyle w:val="2"/>
        <w:tblW w:w="8676" w:type="dxa"/>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88"/>
        <w:gridCol w:w="70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1588" w:type="dxa"/>
          </w:tcPr>
          <w:p>
            <w:pPr>
              <w:pStyle w:val="4"/>
              <w:spacing w:before="132"/>
              <w:ind w:left="261"/>
              <w:rPr>
                <w:rFonts w:ascii="华文中宋" w:eastAsia="华文中宋"/>
                <w:sz w:val="28"/>
              </w:rPr>
            </w:pPr>
            <w:r>
              <w:rPr>
                <w:rFonts w:hint="eastAsia" w:ascii="华文中宋" w:eastAsia="华文中宋"/>
                <w:sz w:val="28"/>
              </w:rPr>
              <w:t>作品标题</w:t>
            </w:r>
          </w:p>
        </w:tc>
        <w:tc>
          <w:tcPr>
            <w:tcW w:w="7088" w:type="dxa"/>
          </w:tcPr>
          <w:p>
            <w:pPr>
              <w:pStyle w:val="4"/>
              <w:rPr>
                <w:rFonts w:ascii="Times New Roman"/>
                <w:sz w:val="30"/>
              </w:rPr>
            </w:pPr>
            <w:r>
              <w:rPr>
                <w:rFonts w:hint="eastAsia" w:ascii="Times New Roman"/>
                <w:sz w:val="30"/>
              </w:rPr>
              <w:t xml:space="preserve"> 《非媒文章 互联网为中国乡村振兴注入新动力》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1588" w:type="dxa"/>
          </w:tcPr>
          <w:p>
            <w:pPr>
              <w:pStyle w:val="4"/>
              <w:spacing w:before="132"/>
              <w:ind w:left="261"/>
              <w:rPr>
                <w:rFonts w:ascii="华文中宋" w:eastAsia="华文中宋"/>
                <w:sz w:val="28"/>
              </w:rPr>
            </w:pPr>
            <w:r>
              <w:rPr>
                <w:rFonts w:hint="eastAsia" w:ascii="华文中宋" w:eastAsia="华文中宋"/>
                <w:sz w:val="28"/>
              </w:rPr>
              <w:t>发表日期</w:t>
            </w:r>
          </w:p>
        </w:tc>
        <w:tc>
          <w:tcPr>
            <w:tcW w:w="7088" w:type="dxa"/>
          </w:tcPr>
          <w:p>
            <w:pPr>
              <w:pStyle w:val="4"/>
              <w:tabs>
                <w:tab w:val="left" w:pos="1410"/>
                <w:tab w:val="left" w:pos="2250"/>
              </w:tabs>
              <w:spacing w:before="221"/>
              <w:ind w:left="10"/>
              <w:jc w:val="center"/>
              <w:rPr>
                <w:sz w:val="28"/>
              </w:rPr>
            </w:pPr>
            <w:r>
              <w:rPr>
                <w:sz w:val="28"/>
              </w:rPr>
              <w:t>202</w:t>
            </w:r>
            <w:r>
              <w:rPr>
                <w:rFonts w:hint="eastAsia"/>
                <w:sz w:val="28"/>
                <w:lang w:val="en-US"/>
              </w:rPr>
              <w:t>3</w:t>
            </w:r>
            <w:r>
              <w:rPr>
                <w:sz w:val="28"/>
              </w:rPr>
              <w:t>年</w:t>
            </w:r>
            <w:r>
              <w:rPr>
                <w:rFonts w:hint="eastAsia"/>
                <w:sz w:val="28"/>
              </w:rPr>
              <w:t>8</w:t>
            </w:r>
            <w:r>
              <w:rPr>
                <w:sz w:val="28"/>
              </w:rPr>
              <w:t>月</w:t>
            </w:r>
            <w:r>
              <w:rPr>
                <w:sz w:val="28"/>
              </w:rPr>
              <w:tab/>
            </w:r>
            <w:r>
              <w:rPr>
                <w:sz w:val="28"/>
              </w:rPr>
              <w:t>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3" w:hRule="atLeast"/>
        </w:trPr>
        <w:tc>
          <w:tcPr>
            <w:tcW w:w="1588" w:type="dxa"/>
          </w:tcPr>
          <w:p>
            <w:pPr>
              <w:pStyle w:val="4"/>
              <w:spacing w:before="2"/>
              <w:jc w:val="center"/>
              <w:rPr>
                <w:rFonts w:ascii="华文中宋"/>
                <w:sz w:val="32"/>
              </w:rPr>
            </w:pPr>
          </w:p>
          <w:p>
            <w:pPr>
              <w:pStyle w:val="4"/>
              <w:spacing w:line="216" w:lineRule="auto"/>
              <w:ind w:left="345" w:right="331"/>
              <w:jc w:val="center"/>
              <w:rPr>
                <w:rFonts w:ascii="华文中宋" w:eastAsia="华文中宋"/>
                <w:sz w:val="28"/>
              </w:rPr>
            </w:pPr>
            <w:r>
              <w:rPr>
                <w:rFonts w:hint="eastAsia" w:ascii="华文中宋" w:eastAsia="华文中宋"/>
                <w:sz w:val="28"/>
              </w:rPr>
              <w:t>作品 评介</w:t>
            </w:r>
          </w:p>
        </w:tc>
        <w:tc>
          <w:tcPr>
            <w:tcW w:w="7088" w:type="dxa"/>
          </w:tcPr>
          <w:p>
            <w:pPr>
              <w:pStyle w:val="4"/>
              <w:ind w:firstLine="480" w:firstLineChars="200"/>
              <w:rPr>
                <w:rFonts w:ascii="Times New Roman"/>
                <w:sz w:val="24"/>
                <w:szCs w:val="24"/>
              </w:rPr>
            </w:pPr>
            <w:r>
              <w:rPr>
                <w:rFonts w:hint="eastAsia" w:ascii="Times New Roman"/>
                <w:sz w:val="24"/>
                <w:szCs w:val="24"/>
              </w:rPr>
              <w:t>在《参考消息》刊登的众多文章中，近年来全球南方国家媒体观察中国发展的报道日益增加，这些报道和文章字里行间对中国发展解方充满审视和探究。加纳《商业与金融时报》2023年8月28日的一篇题为《互联网接入和乡村发展，加纳能从中国学到什么？》的报道就是前述众多探索中国发展模式中的一篇。这篇报道从互联网助力中国农村全面发展角度，向加纳读者呈现了中国农村发展振兴故事，是一篇有数据、有事实、有思考的“中国经验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1588" w:type="dxa"/>
          </w:tcPr>
          <w:p>
            <w:pPr>
              <w:pStyle w:val="4"/>
              <w:spacing w:before="15"/>
              <w:jc w:val="center"/>
              <w:rPr>
                <w:rFonts w:ascii="华文中宋"/>
                <w:sz w:val="31"/>
              </w:rPr>
            </w:pPr>
          </w:p>
          <w:p>
            <w:pPr>
              <w:pStyle w:val="4"/>
              <w:spacing w:line="216" w:lineRule="auto"/>
              <w:ind w:left="345" w:right="331"/>
              <w:jc w:val="center"/>
              <w:rPr>
                <w:rFonts w:ascii="华文中宋" w:eastAsia="华文中宋"/>
                <w:sz w:val="28"/>
              </w:rPr>
            </w:pPr>
            <w:r>
              <w:rPr>
                <w:rFonts w:hint="eastAsia" w:ascii="华文中宋" w:eastAsia="华文中宋"/>
                <w:sz w:val="28"/>
              </w:rPr>
              <w:t>采编 过程</w:t>
            </w:r>
          </w:p>
        </w:tc>
        <w:tc>
          <w:tcPr>
            <w:tcW w:w="7088" w:type="dxa"/>
          </w:tcPr>
          <w:p>
            <w:pPr>
              <w:pStyle w:val="4"/>
              <w:rPr>
                <w:rFonts w:hint="eastAsia" w:ascii="Times New Roman"/>
                <w:sz w:val="24"/>
                <w:szCs w:val="24"/>
              </w:rPr>
            </w:pPr>
            <w:r>
              <w:rPr>
                <w:rFonts w:hint="eastAsia" w:ascii="Times New Roman"/>
                <w:sz w:val="30"/>
              </w:rPr>
              <w:t xml:space="preserve"> </w:t>
            </w:r>
            <w:r>
              <w:rPr>
                <w:rFonts w:ascii="Times New Roman"/>
                <w:sz w:val="30"/>
              </w:rPr>
              <w:t xml:space="preserve">   </w:t>
            </w:r>
            <w:r>
              <w:rPr>
                <w:rFonts w:hint="eastAsia" w:ascii="Times New Roman"/>
                <w:sz w:val="24"/>
                <w:szCs w:val="24"/>
              </w:rPr>
              <w:t>加纳《商业与金融时报》的这篇稿件，是在《参考消息》英文选报和翻译室及编辑室的合作下诞生的。该稿先中从农村接入互联网和由此蓬勃发展的农村电子商务数据说起，证明了“中国农村的电子商务和家庭福利改善之间存在正向关联”。电子商务简化了商业流程，有利于商品和服务在城乡之间流动，从而促进了资本向农村地区的流动。同时在这一趋势吸引下，人才也向农村回流。互联网还带来了智能农业、电子健康、远程教育、金融技术和电子商务等领域农村新兴业态的发展。</w:t>
            </w:r>
          </w:p>
          <w:p>
            <w:pPr>
              <w:pStyle w:val="4"/>
              <w:ind w:firstLine="480" w:firstLineChars="200"/>
              <w:rPr>
                <w:rFonts w:ascii="Times New Roman"/>
                <w:sz w:val="30"/>
              </w:rPr>
            </w:pPr>
            <w:r>
              <w:rPr>
                <w:rFonts w:hint="eastAsia" w:ascii="Times New Roman"/>
                <w:sz w:val="24"/>
                <w:szCs w:val="24"/>
              </w:rPr>
              <w:t>报道还以贵州文修县如何在种植猕猴桃时依托互联网，全过程科学种植，互联网技术显著提高了修文猕猴桃的质量和产量，有利于当地农民收入的提升。文章总结说道，中国在过去十年里成功提高了互联网普及率以促进农村地区的振兴，“互联网+”的经验无疑给全球发展中国家提供了至关重要的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1" w:hRule="atLeast"/>
        </w:trPr>
        <w:tc>
          <w:tcPr>
            <w:tcW w:w="1588" w:type="dxa"/>
          </w:tcPr>
          <w:p>
            <w:pPr>
              <w:pStyle w:val="4"/>
              <w:jc w:val="center"/>
              <w:rPr>
                <w:rFonts w:ascii="华文中宋"/>
                <w:sz w:val="32"/>
              </w:rPr>
            </w:pPr>
          </w:p>
          <w:p>
            <w:pPr>
              <w:pStyle w:val="4"/>
              <w:spacing w:line="216" w:lineRule="auto"/>
              <w:ind w:left="345" w:right="331"/>
              <w:jc w:val="center"/>
              <w:rPr>
                <w:rFonts w:ascii="华文中宋" w:eastAsia="华文中宋"/>
                <w:sz w:val="28"/>
              </w:rPr>
            </w:pPr>
            <w:r>
              <w:rPr>
                <w:rFonts w:hint="eastAsia" w:ascii="华文中宋" w:eastAsia="华文中宋"/>
                <w:sz w:val="28"/>
              </w:rPr>
              <w:t>社会</w:t>
            </w:r>
          </w:p>
          <w:p>
            <w:pPr>
              <w:pStyle w:val="4"/>
              <w:spacing w:line="216" w:lineRule="auto"/>
              <w:ind w:left="345" w:right="331"/>
              <w:jc w:val="center"/>
              <w:rPr>
                <w:rFonts w:ascii="华文中宋" w:eastAsia="华文中宋"/>
                <w:sz w:val="28"/>
              </w:rPr>
            </w:pPr>
            <w:r>
              <w:rPr>
                <w:rFonts w:hint="eastAsia" w:ascii="华文中宋" w:eastAsia="华文中宋"/>
                <w:sz w:val="28"/>
              </w:rPr>
              <w:t>效果</w:t>
            </w:r>
          </w:p>
        </w:tc>
        <w:tc>
          <w:tcPr>
            <w:tcW w:w="7088" w:type="dxa"/>
          </w:tcPr>
          <w:p>
            <w:pPr>
              <w:pStyle w:val="4"/>
              <w:rPr>
                <w:rFonts w:ascii="Times New Roman"/>
                <w:sz w:val="24"/>
                <w:szCs w:val="24"/>
              </w:rPr>
            </w:pPr>
            <w:r>
              <w:rPr>
                <w:rFonts w:hint="eastAsia" w:ascii="Times New Roman"/>
                <w:sz w:val="30"/>
              </w:rPr>
              <w:t xml:space="preserve"> </w:t>
            </w:r>
            <w:r>
              <w:rPr>
                <w:rFonts w:ascii="Times New Roman"/>
                <w:sz w:val="30"/>
              </w:rPr>
              <w:t xml:space="preserve"> </w:t>
            </w:r>
            <w:r>
              <w:rPr>
                <w:rFonts w:ascii="Times New Roman"/>
                <w:sz w:val="24"/>
                <w:szCs w:val="24"/>
              </w:rPr>
              <w:t xml:space="preserve"> </w:t>
            </w:r>
            <w:r>
              <w:rPr>
                <w:rFonts w:hint="eastAsia" w:ascii="Times New Roman"/>
                <w:sz w:val="24"/>
                <w:szCs w:val="24"/>
              </w:rPr>
              <w:t>此报道不仅在发行量巨大的《参考消息》报纸上刊登，还在参考消息网站和客户端播发，点击量超40万。同时被光明网等媒体转载，也为一些自媒体公号所关注，形成了网上网下具佳的传播效果。</w:t>
            </w:r>
          </w:p>
        </w:tc>
      </w:tr>
    </w:tbl>
    <w:p>
      <w:pPr>
        <w:widowControl w:val="0"/>
        <w:rPr>
          <w:rFonts w:ascii="楷体" w:hAnsi="楷体" w:eastAsia="楷体"/>
          <w:sz w:val="28"/>
        </w:rPr>
      </w:pPr>
      <w:r>
        <w:rPr>
          <w:rFonts w:hint="eastAsia" w:ascii="楷体" w:hAnsi="楷体" w:eastAsia="楷体"/>
          <w:sz w:val="28"/>
        </w:rPr>
        <w:t>此表可从中国记协网www.zgjx.cn下载，上、下半年代表作前各附1张。</w:t>
      </w:r>
    </w:p>
    <w:p>
      <w:pPr>
        <w:widowControl w:val="0"/>
        <w:autoSpaceDE w:val="0"/>
        <w:autoSpaceDN w:val="0"/>
        <w:adjustRightInd w:val="0"/>
        <w:spacing w:line="420" w:lineRule="exact"/>
        <w:jc w:val="both"/>
        <w:rPr>
          <w:rFonts w:ascii="楷体" w:hAnsi="楷体" w:eastAsia="楷体"/>
          <w:b/>
          <w:bCs/>
          <w:sz w:val="28"/>
          <w:szCs w:val="28"/>
        </w:rPr>
      </w:pPr>
    </w:p>
    <w:p>
      <w:pPr>
        <w:rPr>
          <w:rFonts w:hint="eastAsia"/>
          <w:sz w:val="24"/>
          <w:szCs w:val="24"/>
        </w:rPr>
      </w:pPr>
      <w:r>
        <w:rPr>
          <w:rFonts w:hint="eastAsia"/>
          <w:sz w:val="24"/>
          <w:szCs w:val="24"/>
        </w:rPr>
        <w:t>【下半年代表作文字稿】</w:t>
      </w:r>
    </w:p>
    <w:p>
      <w:pPr>
        <w:ind w:firstLine="429"/>
      </w:pPr>
    </w:p>
    <w:p>
      <w:pPr>
        <w:ind w:firstLine="429"/>
      </w:pPr>
    </w:p>
    <w:p>
      <w:pPr>
        <w:ind w:firstLine="1500" w:firstLineChars="500"/>
        <w:rPr>
          <w:rFonts w:hint="eastAsia"/>
          <w:sz w:val="30"/>
          <w:szCs w:val="30"/>
        </w:rPr>
      </w:pPr>
      <w:r>
        <w:rPr>
          <w:rFonts w:hint="eastAsia"/>
          <w:sz w:val="30"/>
          <w:szCs w:val="30"/>
        </w:rPr>
        <w:t>互联网为中国乡村振兴注入新动力</w:t>
      </w:r>
    </w:p>
    <w:p>
      <w:pPr>
        <w:ind w:firstLine="2100" w:firstLineChars="1000"/>
      </w:pPr>
      <w:r>
        <w:rPr>
          <w:rFonts w:hint="eastAsia"/>
        </w:rPr>
        <w:t>日期：2023-08-31 星期四</w:t>
      </w:r>
    </w:p>
    <w:p>
      <w:pPr>
        <w:ind w:firstLine="429"/>
      </w:pPr>
    </w:p>
    <w:p>
      <w:pPr>
        <w:ind w:firstLine="429"/>
        <w:rPr>
          <w:rFonts w:hint="eastAsia"/>
          <w:sz w:val="28"/>
          <w:szCs w:val="28"/>
        </w:rPr>
      </w:pPr>
      <w:r>
        <w:rPr>
          <w:rFonts w:hint="eastAsia"/>
          <w:sz w:val="28"/>
          <w:szCs w:val="28"/>
        </w:rPr>
        <w:t>【加纳《商业与金融时报》网站8月28日文章】题：互联网接入和乡村发展，加纳能从中国学到什么？(作者 加纳经济学家亚历山大·阿耶尔泰·奥东科尔)</w:t>
      </w:r>
    </w:p>
    <w:p>
      <w:pPr>
        <w:ind w:firstLine="429"/>
        <w:rPr>
          <w:rFonts w:hint="eastAsia"/>
          <w:sz w:val="28"/>
          <w:szCs w:val="28"/>
        </w:rPr>
      </w:pPr>
      <w:r>
        <w:rPr>
          <w:rFonts w:hint="eastAsia"/>
          <w:sz w:val="28"/>
          <w:szCs w:val="28"/>
        </w:rPr>
        <w:t>统计数据显示，2022年底中国农村互联网用户超过3亿人，较上年大幅增长。以这一增长速度，这个亚洲巨人可能会在未来一段时间内让其所有农村人口接入互联网。自2014年以来，中国农村的互联网普及率稳步提升。</w:t>
      </w:r>
    </w:p>
    <w:p>
      <w:pPr>
        <w:ind w:firstLine="429"/>
        <w:rPr>
          <w:rFonts w:hint="eastAsia"/>
          <w:sz w:val="28"/>
          <w:szCs w:val="28"/>
        </w:rPr>
      </w:pPr>
      <w:r>
        <w:rPr>
          <w:rFonts w:hint="eastAsia"/>
          <w:sz w:val="28"/>
          <w:szCs w:val="28"/>
        </w:rPr>
        <w:t>在这一过程中，互联网的普及带来了新的机遇，促进了农村地区各行各业的增长。例如，电子商务——主要是通过互联网购买和出售商品及服务——使包括农民、创业者和企业家在内的群体能够克服地理障碍，进入更加广阔的新市场。</w:t>
      </w:r>
    </w:p>
    <w:p>
      <w:pPr>
        <w:ind w:firstLine="429"/>
        <w:rPr>
          <w:rFonts w:hint="eastAsia"/>
          <w:sz w:val="28"/>
          <w:szCs w:val="28"/>
        </w:rPr>
      </w:pPr>
      <w:r>
        <w:rPr>
          <w:rFonts w:hint="eastAsia"/>
          <w:sz w:val="28"/>
          <w:szCs w:val="28"/>
        </w:rPr>
        <w:t>近年来，电子商务在农村地区受到追捧。2022年，中国农村网络零售额达2.17万亿元，比2014年的1800亿元大大增加，这创造了新的就业机会。截至2022年底，全国农村网商(店)已达到1730万家。</w:t>
      </w:r>
    </w:p>
    <w:p>
      <w:pPr>
        <w:ind w:firstLine="429"/>
        <w:rPr>
          <w:rFonts w:hint="eastAsia"/>
          <w:sz w:val="28"/>
          <w:szCs w:val="28"/>
        </w:rPr>
      </w:pPr>
      <w:r>
        <w:rPr>
          <w:rFonts w:hint="eastAsia"/>
          <w:sz w:val="28"/>
          <w:szCs w:val="28"/>
        </w:rPr>
        <w:t>新兴的互联网产业提高了生产力，刺激了消费，帮助农村人口摆脱了极端贫困，并为乡村振兴注入了新的动力。世界银行和阿里巴巴集团2019年的一项联合研究发现，中国农村的电子商务和家庭福利改善之间存在正向关联。在“淘宝村”，参与电子商务的家庭的收入比不参与电子商务的家庭高出80%，网店员工的工资接近或高于城镇私营企业员工的平均工资。女性和农村家庭中受教育程度较高的年轻人是电子商务的更大受益者。</w:t>
      </w:r>
    </w:p>
    <w:p>
      <w:pPr>
        <w:ind w:firstLine="429"/>
        <w:rPr>
          <w:rFonts w:hint="eastAsia"/>
          <w:sz w:val="28"/>
          <w:szCs w:val="28"/>
        </w:rPr>
      </w:pPr>
      <w:r>
        <w:rPr>
          <w:rFonts w:hint="eastAsia"/>
          <w:sz w:val="28"/>
          <w:szCs w:val="28"/>
        </w:rPr>
        <w:t>中国在过去十年里成功提高了互联网普及率以促进农村地区的振兴，这无疑给全球发展中国家提供了至关重要的经验。就加纳而言，借鉴中国经验，加快农村地区的互联网接入，可以带来巨大的社会、环境和经济效益。</w:t>
      </w:r>
    </w:p>
    <w:p>
      <w:pPr>
        <w:ind w:firstLine="429"/>
        <w:rPr>
          <w:rFonts w:hint="eastAsia"/>
          <w:sz w:val="28"/>
          <w:szCs w:val="28"/>
        </w:rPr>
      </w:pPr>
      <w:r>
        <w:rPr>
          <w:rFonts w:hint="eastAsia"/>
          <w:sz w:val="28"/>
          <w:szCs w:val="28"/>
        </w:rPr>
        <w:t>从2014年到2022年，中国的农村网民规模从1.78亿增至3.08亿，这一扩张对于为新兴的互联网相关行业创造有利环境至关重要，其中也包括在农村地区蓬勃发展的电子商务。目前，借助手机，中国农村地区的创业者、农民、创新者和中小企业老板能让一切尽在掌握。电子商务简化了商业流程，有利于商品和服务在城乡之间流动，从而促进了资本向农村地区的流动。</w:t>
      </w:r>
    </w:p>
    <w:p>
      <w:pPr>
        <w:ind w:firstLine="429"/>
        <w:rPr>
          <w:rFonts w:hint="eastAsia"/>
          <w:sz w:val="28"/>
          <w:szCs w:val="28"/>
        </w:rPr>
      </w:pPr>
      <w:r>
        <w:rPr>
          <w:rFonts w:hint="eastAsia"/>
          <w:sz w:val="28"/>
          <w:szCs w:val="28"/>
        </w:rPr>
        <w:t>近年来，这种趋势不仅为农村居民创造了新的就业机会，也吸引了一些进城务工的农民工返回家乡。据报道，到2021年底，约1120万人返乡入乡创业创新，其中很大一部分是农民工，每个返乡农民工创业能带动6到7个稳定就业。</w:t>
      </w:r>
    </w:p>
    <w:p>
      <w:pPr>
        <w:ind w:firstLine="429"/>
        <w:rPr>
          <w:rFonts w:hint="eastAsia"/>
          <w:sz w:val="28"/>
          <w:szCs w:val="28"/>
        </w:rPr>
      </w:pPr>
      <w:r>
        <w:rPr>
          <w:rFonts w:hint="eastAsia"/>
          <w:sz w:val="28"/>
          <w:szCs w:val="28"/>
        </w:rPr>
        <w:t>事实上，在中国农村地区，互联网稳步扩张刮起的变革之风已经催生了新的产业，涵盖智能农业、电子健康、远程教育、金融技术和电子商务等领域，这为传统的农村商业和产业注入了新的动力。自中国出台“互联网+”行动计划以来，这一旨在将互联网与包括农业在内的传统产业相融合的计划已对该国的农村经济产生了深远影响。移动互联网、大数据、云计算、物联网等技术的应用，显著提高了传统产业的效率，尤其是在农业价值链上。从生产、加工、融资到营销，与互联网技术的融合为农村产业的转型升级作出了巨大贡献。</w:t>
      </w:r>
    </w:p>
    <w:p>
      <w:pPr>
        <w:ind w:firstLine="429"/>
        <w:rPr>
          <w:rFonts w:hint="eastAsia"/>
          <w:sz w:val="28"/>
          <w:szCs w:val="28"/>
        </w:rPr>
      </w:pPr>
      <w:r>
        <w:rPr>
          <w:rFonts w:hint="eastAsia"/>
          <w:sz w:val="28"/>
          <w:szCs w:val="28"/>
        </w:rPr>
        <w:t>中国西南部的贵州省是该国首个国家大数据综合试验区，大数据的应用为这里的农村产业注入了活力，帮助解决了这个有很多山地和丘陵地区的省份面临的巨大挑战。作为高质量社会经济发展的中坚力量，大数据等互联网技术的融合提高了生产力，改变了包括种植业在内的贵州各农村产业。</w:t>
      </w:r>
    </w:p>
    <w:p>
      <w:pPr>
        <w:ind w:firstLine="429"/>
        <w:rPr>
          <w:sz w:val="28"/>
          <w:szCs w:val="28"/>
        </w:rPr>
      </w:pPr>
      <w:r>
        <w:rPr>
          <w:rFonts w:hint="eastAsia"/>
          <w:sz w:val="28"/>
          <w:szCs w:val="28"/>
        </w:rPr>
        <w:t>贵州省修文县是著名的猕猴桃产地，当地的数十个猕猴桃果园通过物联网技术接入大数据平台。在科技的助力下，果农们在手机上就能获取包括温度、湿度、土壤含水量在内的果园实时数据，可以选择适当时机进行施肥和修剪，确保果园得到更有效的管理。与主要依赖经验和天气的传统农业相比，互联网技术显著提高了修文猕猴桃的质量和产量，有利于当地农民收入的提升。</w:t>
      </w:r>
    </w:p>
    <w:p>
      <w:pPr>
        <w:widowControl w:val="0"/>
        <w:autoSpaceDE w:val="0"/>
        <w:autoSpaceDN w:val="0"/>
        <w:adjustRightInd w:val="0"/>
        <w:spacing w:line="420" w:lineRule="exact"/>
        <w:jc w:val="both"/>
        <w:rPr>
          <w:rFonts w:ascii="楷体" w:hAnsi="楷体" w:eastAsia="楷体"/>
          <w:b/>
          <w:bCs/>
          <w:sz w:val="28"/>
          <w:szCs w:val="28"/>
        </w:rPr>
      </w:pPr>
    </w:p>
    <w:p>
      <w:pPr>
        <w:widowControl w:val="0"/>
        <w:autoSpaceDE w:val="0"/>
        <w:autoSpaceDN w:val="0"/>
        <w:adjustRightInd w:val="0"/>
        <w:spacing w:line="420" w:lineRule="exact"/>
        <w:jc w:val="both"/>
        <w:rPr>
          <w:rFonts w:ascii="楷体" w:hAnsi="楷体" w:eastAsia="楷体"/>
          <w:b/>
          <w:bCs/>
          <w:sz w:val="28"/>
          <w:szCs w:val="28"/>
        </w:rPr>
      </w:pPr>
    </w:p>
    <w:p>
      <w:pPr>
        <w:widowControl w:val="0"/>
        <w:autoSpaceDE w:val="0"/>
        <w:autoSpaceDN w:val="0"/>
        <w:adjustRightInd w:val="0"/>
        <w:spacing w:line="420" w:lineRule="exact"/>
        <w:jc w:val="both"/>
        <w:rPr>
          <w:rFonts w:ascii="楷体" w:hAnsi="楷体" w:eastAsia="楷体"/>
          <w:b/>
          <w:bCs/>
          <w:sz w:val="28"/>
          <w:szCs w:val="28"/>
        </w:rPr>
      </w:pPr>
    </w:p>
    <w:p>
      <w:pPr>
        <w:widowControl w:val="0"/>
        <w:autoSpaceDE w:val="0"/>
        <w:autoSpaceDN w:val="0"/>
        <w:adjustRightInd w:val="0"/>
        <w:spacing w:line="420" w:lineRule="exact"/>
        <w:jc w:val="both"/>
        <w:rPr>
          <w:rFonts w:ascii="楷体" w:hAnsi="楷体" w:eastAsia="楷体"/>
          <w:b/>
          <w:bCs/>
          <w:sz w:val="28"/>
          <w:szCs w:val="28"/>
        </w:rPr>
      </w:pPr>
    </w:p>
    <w:p>
      <w:pPr>
        <w:widowControl w:val="0"/>
        <w:autoSpaceDE w:val="0"/>
        <w:autoSpaceDN w:val="0"/>
        <w:adjustRightInd w:val="0"/>
        <w:spacing w:line="420" w:lineRule="exact"/>
        <w:jc w:val="both"/>
        <w:rPr>
          <w:rFonts w:ascii="楷体" w:hAnsi="楷体" w:eastAsia="楷体"/>
          <w:b/>
          <w:bCs/>
          <w:sz w:val="28"/>
          <w:szCs w:val="28"/>
        </w:rPr>
      </w:pPr>
    </w:p>
    <w:p>
      <w:pPr>
        <w:widowControl w:val="0"/>
        <w:autoSpaceDE w:val="0"/>
        <w:autoSpaceDN w:val="0"/>
        <w:adjustRightInd w:val="0"/>
        <w:spacing w:line="420" w:lineRule="exact"/>
        <w:jc w:val="both"/>
        <w:rPr>
          <w:rFonts w:ascii="楷体" w:hAnsi="楷体" w:eastAsia="楷体"/>
          <w:b/>
          <w:bCs/>
          <w:sz w:val="28"/>
          <w:szCs w:val="28"/>
        </w:rPr>
      </w:pPr>
    </w:p>
    <w:p>
      <w:pPr>
        <w:widowControl w:val="0"/>
        <w:autoSpaceDE w:val="0"/>
        <w:autoSpaceDN w:val="0"/>
        <w:adjustRightInd w:val="0"/>
        <w:spacing w:line="420" w:lineRule="exact"/>
        <w:jc w:val="both"/>
        <w:rPr>
          <w:rFonts w:ascii="楷体" w:hAnsi="楷体" w:eastAsia="楷体"/>
          <w:b/>
          <w:bCs/>
          <w:sz w:val="28"/>
          <w:szCs w:val="28"/>
        </w:rPr>
      </w:pPr>
    </w:p>
    <w:p>
      <w:pPr>
        <w:widowControl w:val="0"/>
        <w:autoSpaceDE w:val="0"/>
        <w:autoSpaceDN w:val="0"/>
        <w:adjustRightInd w:val="0"/>
        <w:spacing w:line="420" w:lineRule="exact"/>
        <w:jc w:val="both"/>
        <w:rPr>
          <w:rFonts w:ascii="楷体" w:hAnsi="楷体" w:eastAsia="楷体"/>
          <w:b/>
          <w:bCs/>
          <w:sz w:val="28"/>
          <w:szCs w:val="28"/>
        </w:rPr>
      </w:pPr>
    </w:p>
    <w:p>
      <w:pPr>
        <w:widowControl w:val="0"/>
        <w:autoSpaceDE w:val="0"/>
        <w:autoSpaceDN w:val="0"/>
        <w:adjustRightInd w:val="0"/>
        <w:spacing w:line="420" w:lineRule="exact"/>
        <w:jc w:val="both"/>
        <w:rPr>
          <w:rFonts w:ascii="楷体" w:hAnsi="楷体" w:eastAsia="楷体"/>
          <w:b/>
          <w:bCs/>
          <w:sz w:val="28"/>
          <w:szCs w:val="28"/>
        </w:rPr>
      </w:pPr>
    </w:p>
    <w:p>
      <w:pPr>
        <w:widowControl w:val="0"/>
        <w:autoSpaceDE w:val="0"/>
        <w:autoSpaceDN w:val="0"/>
        <w:adjustRightInd w:val="0"/>
        <w:spacing w:line="420" w:lineRule="exact"/>
        <w:jc w:val="both"/>
        <w:rPr>
          <w:rFonts w:ascii="楷体" w:hAnsi="楷体" w:eastAsia="楷体"/>
          <w:b/>
          <w:bCs/>
          <w:sz w:val="28"/>
          <w:szCs w:val="28"/>
        </w:rPr>
      </w:pPr>
    </w:p>
    <w:p>
      <w:pPr>
        <w:widowControl w:val="0"/>
        <w:autoSpaceDE w:val="0"/>
        <w:autoSpaceDN w:val="0"/>
        <w:adjustRightInd w:val="0"/>
        <w:spacing w:line="420" w:lineRule="exact"/>
        <w:jc w:val="both"/>
        <w:rPr>
          <w:rFonts w:ascii="楷体" w:hAnsi="楷体" w:eastAsia="楷体"/>
          <w:b/>
          <w:bCs/>
          <w:sz w:val="28"/>
          <w:szCs w:val="28"/>
        </w:rPr>
      </w:pPr>
    </w:p>
    <w:p>
      <w:pPr>
        <w:widowControl w:val="0"/>
        <w:autoSpaceDE w:val="0"/>
        <w:autoSpaceDN w:val="0"/>
        <w:adjustRightInd w:val="0"/>
        <w:spacing w:line="420" w:lineRule="exact"/>
        <w:jc w:val="both"/>
        <w:rPr>
          <w:rFonts w:ascii="楷体" w:hAnsi="楷体" w:eastAsia="楷体"/>
          <w:b/>
          <w:bCs/>
          <w:sz w:val="28"/>
          <w:szCs w:val="28"/>
        </w:rPr>
      </w:pPr>
    </w:p>
    <w:p>
      <w:pPr>
        <w:widowControl w:val="0"/>
        <w:autoSpaceDE w:val="0"/>
        <w:autoSpaceDN w:val="0"/>
        <w:adjustRightInd w:val="0"/>
        <w:spacing w:line="420" w:lineRule="exact"/>
        <w:jc w:val="both"/>
        <w:rPr>
          <w:rFonts w:ascii="楷体" w:hAnsi="楷体" w:eastAsia="楷体"/>
          <w:b/>
          <w:bCs/>
          <w:sz w:val="28"/>
          <w:szCs w:val="28"/>
        </w:rPr>
      </w:pPr>
    </w:p>
    <w:p>
      <w:pPr>
        <w:widowControl w:val="0"/>
        <w:autoSpaceDE w:val="0"/>
        <w:autoSpaceDN w:val="0"/>
        <w:adjustRightInd w:val="0"/>
        <w:spacing w:line="420" w:lineRule="exact"/>
        <w:jc w:val="both"/>
        <w:rPr>
          <w:rFonts w:hint="eastAsia" w:ascii="楷体" w:hAnsi="楷体" w:eastAsia="楷体"/>
          <w:b/>
          <w:bCs/>
          <w:sz w:val="28"/>
          <w:szCs w:val="28"/>
        </w:rPr>
      </w:pPr>
    </w:p>
    <w:p>
      <w:pPr>
        <w:widowControl w:val="0"/>
        <w:autoSpaceDE w:val="0"/>
        <w:autoSpaceDN w:val="0"/>
        <w:adjustRightInd w:val="0"/>
        <w:spacing w:line="420" w:lineRule="exact"/>
        <w:jc w:val="both"/>
        <w:rPr>
          <w:rFonts w:ascii="仿宋_GB2312" w:hAnsi="仿宋" w:eastAsia="仿宋_GB2312" w:cs="华文中宋"/>
          <w:sz w:val="24"/>
          <w:szCs w:val="24"/>
        </w:rPr>
      </w:pPr>
      <w:r>
        <w:rPr>
          <w:rFonts w:hint="eastAsia" w:ascii="楷体" w:hAnsi="楷体" w:eastAsia="楷体"/>
          <w:b/>
          <w:bCs/>
          <w:sz w:val="28"/>
          <w:szCs w:val="28"/>
        </w:rPr>
        <w:t>附件5</w:t>
      </w:r>
      <w:r>
        <w:rPr>
          <w:rFonts w:hint="eastAsia" w:ascii="仿宋_GB2312" w:hAnsi="仿宋" w:eastAsia="仿宋_GB2312" w:cs="华文中宋"/>
          <w:sz w:val="24"/>
          <w:szCs w:val="24"/>
        </w:rPr>
        <w:t xml:space="preserve">  </w:t>
      </w:r>
    </w:p>
    <w:p>
      <w:pPr>
        <w:widowControl w:val="0"/>
        <w:autoSpaceDE w:val="0"/>
        <w:autoSpaceDN w:val="0"/>
        <w:adjustRightInd w:val="0"/>
        <w:spacing w:line="420" w:lineRule="exact"/>
        <w:jc w:val="both"/>
        <w:rPr>
          <w:rFonts w:ascii="仿宋_GB2312" w:hAnsi="仿宋" w:eastAsia="仿宋_GB2312" w:cs="华文中宋"/>
          <w:sz w:val="24"/>
          <w:szCs w:val="24"/>
        </w:rPr>
      </w:pPr>
    </w:p>
    <w:p>
      <w:pPr>
        <w:widowControl w:val="0"/>
        <w:spacing w:line="560" w:lineRule="exact"/>
        <w:jc w:val="center"/>
        <w:rPr>
          <w:rFonts w:ascii="方正小标宋简体" w:hAnsi="华文中宋" w:eastAsia="方正小标宋简体"/>
          <w:sz w:val="40"/>
          <w:szCs w:val="32"/>
        </w:rPr>
      </w:pPr>
      <w:r>
        <w:rPr>
          <w:rFonts w:hint="eastAsia" w:ascii="方正小标宋简体" w:hAnsi="华文中宋" w:eastAsia="方正小标宋简体"/>
          <w:sz w:val="40"/>
          <w:szCs w:val="32"/>
        </w:rPr>
        <w:t>2023年每月第二周刊载作品目录</w:t>
      </w:r>
    </w:p>
    <w:p>
      <w:pPr>
        <w:spacing w:line="120" w:lineRule="exact"/>
      </w:pPr>
    </w:p>
    <w:tbl>
      <w:tblPr>
        <w:tblStyle w:val="5"/>
        <w:tblW w:w="8887" w:type="dxa"/>
        <w:tblInd w:w="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19"/>
        <w:gridCol w:w="6475"/>
        <w:gridCol w:w="1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1019" w:type="dxa"/>
          </w:tcPr>
          <w:p>
            <w:pPr>
              <w:pStyle w:val="6"/>
              <w:spacing w:before="216" w:line="185" w:lineRule="auto"/>
              <w:ind w:left="241"/>
            </w:pPr>
            <w:r>
              <w:rPr>
                <w:spacing w:val="-2"/>
              </w:rPr>
              <w:t>月份</w:t>
            </w:r>
          </w:p>
        </w:tc>
        <w:tc>
          <w:tcPr>
            <w:tcW w:w="6475" w:type="dxa"/>
          </w:tcPr>
          <w:p>
            <w:pPr>
              <w:pStyle w:val="6"/>
              <w:spacing w:before="217" w:line="185" w:lineRule="auto"/>
              <w:ind w:left="2682"/>
            </w:pPr>
            <w:r>
              <w:rPr>
                <w:spacing w:val="-4"/>
              </w:rPr>
              <w:t>标</w:t>
            </w:r>
            <w:r>
              <w:rPr>
                <w:spacing w:val="11"/>
              </w:rPr>
              <w:t xml:space="preserve">      </w:t>
            </w:r>
            <w:r>
              <w:rPr>
                <w:spacing w:val="-4"/>
              </w:rPr>
              <w:t>题</w:t>
            </w:r>
          </w:p>
        </w:tc>
        <w:tc>
          <w:tcPr>
            <w:tcW w:w="1393" w:type="dxa"/>
          </w:tcPr>
          <w:p>
            <w:pPr>
              <w:pStyle w:val="6"/>
              <w:spacing w:before="216" w:line="185" w:lineRule="auto"/>
            </w:pPr>
            <w:r>
              <w:rPr>
                <w:spacing w:val="-2"/>
              </w:rPr>
              <w:t>刊登日期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1019" w:type="dxa"/>
          </w:tcPr>
          <w:p>
            <w:pPr>
              <w:pStyle w:val="6"/>
              <w:spacing w:before="209" w:line="185" w:lineRule="auto"/>
              <w:ind w:left="226"/>
            </w:pPr>
            <w:r>
              <w:rPr>
                <w:spacing w:val="-19"/>
              </w:rPr>
              <w:t>1</w:t>
            </w:r>
            <w:r>
              <w:rPr>
                <w:spacing w:val="66"/>
              </w:rPr>
              <w:t xml:space="preserve"> </w:t>
            </w:r>
            <w:r>
              <w:rPr>
                <w:spacing w:val="-19"/>
              </w:rPr>
              <w:t>月</w:t>
            </w:r>
          </w:p>
        </w:tc>
        <w:tc>
          <w:tcPr>
            <w:tcW w:w="6475" w:type="dxa"/>
          </w:tcPr>
          <w:p>
            <w:pPr>
              <w:ind w:firstLine="720" w:firstLineChars="300"/>
              <w:rPr>
                <w:snapToGrid w:val="0"/>
                <w:color w:val="000000"/>
                <w:sz w:val="24"/>
                <w:szCs w:val="24"/>
                <w:lang w:eastAsia="en-US"/>
              </w:rPr>
            </w:pPr>
            <w:r>
              <w:rPr>
                <w:rFonts w:hint="eastAsia"/>
                <w:snapToGrid w:val="0"/>
                <w:color w:val="000000"/>
                <w:sz w:val="24"/>
                <w:szCs w:val="24"/>
                <w:lang w:eastAsia="en-US"/>
              </w:rPr>
              <w:t>《新媒报道 古城西安热闹劲回来了》</w:t>
            </w:r>
          </w:p>
        </w:tc>
        <w:tc>
          <w:tcPr>
            <w:tcW w:w="1393" w:type="dxa"/>
          </w:tcPr>
          <w:p>
            <w:pPr>
              <w:rPr>
                <w:snapToGrid w:val="0"/>
                <w:color w:val="000000"/>
                <w:sz w:val="24"/>
                <w:szCs w:val="24"/>
                <w:lang w:eastAsia="en-US"/>
              </w:rPr>
            </w:pPr>
            <w:r>
              <w:rPr>
                <w:rFonts w:hint="eastAsia"/>
                <w:snapToGrid w:val="0"/>
                <w:color w:val="000000"/>
                <w:sz w:val="24"/>
                <w:szCs w:val="24"/>
                <w:lang w:eastAsia="en-US"/>
              </w:rPr>
              <w:t>1月12日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1019" w:type="dxa"/>
          </w:tcPr>
          <w:p>
            <w:pPr>
              <w:pStyle w:val="6"/>
              <w:spacing w:before="213" w:line="185" w:lineRule="auto"/>
              <w:ind w:left="193"/>
            </w:pPr>
            <w:r>
              <w:rPr>
                <w:spacing w:val="-3"/>
              </w:rPr>
              <w:t>2</w:t>
            </w:r>
            <w:r>
              <w:rPr>
                <w:spacing w:val="67"/>
              </w:rPr>
              <w:t xml:space="preserve"> </w:t>
            </w:r>
            <w:r>
              <w:rPr>
                <w:spacing w:val="-3"/>
              </w:rPr>
              <w:t>月</w:t>
            </w:r>
          </w:p>
        </w:tc>
        <w:tc>
          <w:tcPr>
            <w:tcW w:w="6475" w:type="dxa"/>
          </w:tcPr>
          <w:p>
            <w:pPr>
              <w:ind w:firstLine="720" w:firstLineChars="300"/>
              <w:rPr>
                <w:snapToGrid w:val="0"/>
                <w:color w:val="000000"/>
                <w:sz w:val="24"/>
                <w:szCs w:val="24"/>
                <w:lang w:eastAsia="en-US"/>
              </w:rPr>
            </w:pPr>
            <w:r>
              <w:rPr>
                <w:rFonts w:hint="eastAsia"/>
                <w:snapToGrid w:val="0"/>
                <w:color w:val="000000"/>
                <w:sz w:val="24"/>
                <w:szCs w:val="24"/>
                <w:lang w:eastAsia="en-US"/>
              </w:rPr>
              <w:t>《“外国小店”人气旺折射中国经济回暖 》</w:t>
            </w:r>
          </w:p>
          <w:p>
            <w:pPr>
              <w:rPr>
                <w:snapToGrid w:val="0"/>
                <w:color w:val="000000"/>
                <w:sz w:val="24"/>
                <w:szCs w:val="24"/>
                <w:lang w:eastAsia="en-US"/>
              </w:rPr>
            </w:pPr>
          </w:p>
        </w:tc>
        <w:tc>
          <w:tcPr>
            <w:tcW w:w="1393" w:type="dxa"/>
          </w:tcPr>
          <w:p>
            <w:pPr>
              <w:rPr>
                <w:snapToGrid w:val="0"/>
                <w:color w:val="000000"/>
                <w:sz w:val="24"/>
                <w:szCs w:val="24"/>
                <w:lang w:eastAsia="en-US"/>
              </w:rPr>
            </w:pPr>
            <w:r>
              <w:rPr>
                <w:rFonts w:hint="eastAsia"/>
                <w:snapToGrid w:val="0"/>
                <w:color w:val="000000"/>
                <w:sz w:val="24"/>
                <w:szCs w:val="24"/>
                <w:lang w:eastAsia="en-US"/>
              </w:rPr>
              <w:t>2月9日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1019" w:type="dxa"/>
          </w:tcPr>
          <w:p>
            <w:pPr>
              <w:pStyle w:val="6"/>
              <w:spacing w:before="212" w:line="185" w:lineRule="auto"/>
              <w:ind w:left="196"/>
            </w:pPr>
            <w:r>
              <w:rPr>
                <w:spacing w:val="-4"/>
              </w:rPr>
              <w:t>3</w:t>
            </w:r>
            <w:r>
              <w:rPr>
                <w:spacing w:val="66"/>
              </w:rPr>
              <w:t xml:space="preserve"> </w:t>
            </w:r>
            <w:r>
              <w:rPr>
                <w:spacing w:val="-4"/>
              </w:rPr>
              <w:t>月</w:t>
            </w:r>
          </w:p>
        </w:tc>
        <w:tc>
          <w:tcPr>
            <w:tcW w:w="6475" w:type="dxa"/>
          </w:tcPr>
          <w:p>
            <w:pPr>
              <w:rPr>
                <w:snapToGrid w:val="0"/>
                <w:color w:val="000000"/>
                <w:sz w:val="24"/>
                <w:szCs w:val="24"/>
                <w:lang w:eastAsia="en-US"/>
              </w:rPr>
            </w:pPr>
            <w:r>
              <w:rPr>
                <w:rFonts w:hint="eastAsia"/>
                <w:snapToGrid w:val="0"/>
                <w:color w:val="000000"/>
                <w:sz w:val="24"/>
                <w:szCs w:val="24"/>
                <w:lang w:eastAsia="en-US"/>
              </w:rPr>
              <w:t xml:space="preserve"> </w:t>
            </w:r>
            <w:r>
              <w:rPr>
                <w:snapToGrid w:val="0"/>
                <w:color w:val="000000"/>
                <w:sz w:val="24"/>
                <w:szCs w:val="24"/>
                <w:lang w:eastAsia="en-US"/>
              </w:rPr>
              <w:t xml:space="preserve">     </w:t>
            </w:r>
            <w:r>
              <w:rPr>
                <w:rFonts w:hint="eastAsia"/>
                <w:snapToGrid w:val="0"/>
                <w:color w:val="000000"/>
                <w:sz w:val="24"/>
                <w:szCs w:val="24"/>
                <w:lang w:eastAsia="en-US"/>
              </w:rPr>
              <w:t>《新媒关注 三亚加速攀升科创旅游“双高地”》</w:t>
            </w:r>
          </w:p>
        </w:tc>
        <w:tc>
          <w:tcPr>
            <w:tcW w:w="1393" w:type="dxa"/>
          </w:tcPr>
          <w:p>
            <w:pPr>
              <w:rPr>
                <w:snapToGrid w:val="0"/>
                <w:color w:val="000000"/>
                <w:sz w:val="24"/>
                <w:szCs w:val="24"/>
                <w:lang w:eastAsia="en-US"/>
              </w:rPr>
            </w:pPr>
            <w:r>
              <w:rPr>
                <w:rFonts w:hint="eastAsia"/>
                <w:snapToGrid w:val="0"/>
                <w:color w:val="000000"/>
                <w:sz w:val="24"/>
                <w:szCs w:val="24"/>
                <w:lang w:eastAsia="en-US"/>
              </w:rPr>
              <w:t>3月6日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1019" w:type="dxa"/>
          </w:tcPr>
          <w:p>
            <w:pPr>
              <w:pStyle w:val="6"/>
              <w:spacing w:before="213" w:line="185" w:lineRule="auto"/>
              <w:ind w:left="203"/>
            </w:pPr>
            <w:r>
              <w:rPr>
                <w:spacing w:val="-8"/>
              </w:rPr>
              <w:t>4</w:t>
            </w:r>
            <w:r>
              <w:rPr>
                <w:spacing w:val="67"/>
              </w:rPr>
              <w:t xml:space="preserve"> </w:t>
            </w:r>
            <w:r>
              <w:rPr>
                <w:spacing w:val="-8"/>
              </w:rPr>
              <w:t>月</w:t>
            </w:r>
          </w:p>
        </w:tc>
        <w:tc>
          <w:tcPr>
            <w:tcW w:w="6475" w:type="dxa"/>
          </w:tcPr>
          <w:p>
            <w:pPr>
              <w:rPr>
                <w:snapToGrid w:val="0"/>
                <w:color w:val="000000"/>
                <w:sz w:val="24"/>
                <w:szCs w:val="24"/>
                <w:lang w:eastAsia="en-US"/>
              </w:rPr>
            </w:pPr>
            <w:r>
              <w:rPr>
                <w:rFonts w:hint="eastAsia"/>
                <w:snapToGrid w:val="0"/>
                <w:color w:val="000000"/>
                <w:sz w:val="24"/>
                <w:szCs w:val="24"/>
                <w:lang w:eastAsia="en-US"/>
              </w:rPr>
              <w:t xml:space="preserve"> </w:t>
            </w:r>
            <w:r>
              <w:rPr>
                <w:snapToGrid w:val="0"/>
                <w:color w:val="000000"/>
                <w:sz w:val="24"/>
                <w:szCs w:val="24"/>
                <w:lang w:eastAsia="en-US"/>
              </w:rPr>
              <w:t xml:space="preserve">      </w:t>
            </w:r>
            <w:r>
              <w:rPr>
                <w:rFonts w:hint="eastAsia"/>
                <w:snapToGrid w:val="0"/>
                <w:color w:val="000000"/>
                <w:sz w:val="24"/>
                <w:szCs w:val="24"/>
                <w:lang w:eastAsia="en-US"/>
              </w:rPr>
              <w:t>《巴媒文章 “未来之城”雄安正迅速发展》</w:t>
            </w:r>
          </w:p>
        </w:tc>
        <w:tc>
          <w:tcPr>
            <w:tcW w:w="1393" w:type="dxa"/>
          </w:tcPr>
          <w:p>
            <w:pPr>
              <w:rPr>
                <w:snapToGrid w:val="0"/>
                <w:color w:val="000000"/>
                <w:sz w:val="24"/>
                <w:szCs w:val="24"/>
                <w:lang w:eastAsia="en-US"/>
              </w:rPr>
            </w:pPr>
            <w:r>
              <w:rPr>
                <w:rFonts w:hint="eastAsia"/>
                <w:snapToGrid w:val="0"/>
                <w:color w:val="000000"/>
                <w:sz w:val="24"/>
                <w:szCs w:val="24"/>
                <w:lang w:eastAsia="en-US"/>
              </w:rPr>
              <w:t xml:space="preserve">4月4日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1019" w:type="dxa"/>
          </w:tcPr>
          <w:p>
            <w:pPr>
              <w:pStyle w:val="6"/>
              <w:spacing w:before="216" w:line="185" w:lineRule="auto"/>
              <w:ind w:left="203"/>
            </w:pPr>
            <w:r>
              <w:rPr>
                <w:spacing w:val="-8"/>
              </w:rPr>
              <w:t>5</w:t>
            </w:r>
            <w:r>
              <w:rPr>
                <w:spacing w:val="67"/>
              </w:rPr>
              <w:t xml:space="preserve"> </w:t>
            </w:r>
            <w:r>
              <w:rPr>
                <w:spacing w:val="-8"/>
              </w:rPr>
              <w:t>月</w:t>
            </w:r>
          </w:p>
        </w:tc>
        <w:tc>
          <w:tcPr>
            <w:tcW w:w="6475" w:type="dxa"/>
          </w:tcPr>
          <w:p>
            <w:pPr>
              <w:rPr>
                <w:snapToGrid w:val="0"/>
                <w:color w:val="000000"/>
                <w:sz w:val="24"/>
                <w:szCs w:val="24"/>
                <w:lang w:eastAsia="en-US"/>
              </w:rPr>
            </w:pPr>
            <w:r>
              <w:rPr>
                <w:rFonts w:hint="eastAsia"/>
                <w:snapToGrid w:val="0"/>
                <w:color w:val="000000"/>
                <w:sz w:val="24"/>
                <w:szCs w:val="24"/>
                <w:lang w:eastAsia="en-US"/>
              </w:rPr>
              <w:t xml:space="preserve"> </w:t>
            </w:r>
            <w:r>
              <w:rPr>
                <w:snapToGrid w:val="0"/>
                <w:color w:val="000000"/>
                <w:sz w:val="24"/>
                <w:szCs w:val="24"/>
                <w:lang w:eastAsia="en-US"/>
              </w:rPr>
              <w:t xml:space="preserve">     </w:t>
            </w:r>
            <w:r>
              <w:rPr>
                <w:rFonts w:hint="eastAsia"/>
                <w:snapToGrid w:val="0"/>
                <w:color w:val="000000"/>
                <w:sz w:val="24"/>
                <w:szCs w:val="24"/>
                <w:lang w:eastAsia="en-US"/>
              </w:rPr>
              <w:t>《港媒报道 深圳高增长凸显中国经济韧性》</w:t>
            </w:r>
          </w:p>
        </w:tc>
        <w:tc>
          <w:tcPr>
            <w:tcW w:w="1393" w:type="dxa"/>
          </w:tcPr>
          <w:p>
            <w:pPr>
              <w:rPr>
                <w:snapToGrid w:val="0"/>
                <w:color w:val="000000"/>
                <w:sz w:val="24"/>
                <w:szCs w:val="24"/>
                <w:lang w:eastAsia="en-US"/>
              </w:rPr>
            </w:pPr>
            <w:r>
              <w:rPr>
                <w:rFonts w:hint="eastAsia"/>
                <w:snapToGrid w:val="0"/>
                <w:color w:val="000000"/>
                <w:sz w:val="24"/>
                <w:szCs w:val="24"/>
                <w:lang w:eastAsia="en-US"/>
              </w:rPr>
              <w:t xml:space="preserve">5月8日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1019" w:type="dxa"/>
          </w:tcPr>
          <w:p>
            <w:pPr>
              <w:pStyle w:val="6"/>
              <w:spacing w:before="215" w:line="185" w:lineRule="auto"/>
              <w:ind w:left="197"/>
            </w:pPr>
            <w:r>
              <w:rPr>
                <w:spacing w:val="-5"/>
              </w:rPr>
              <w:t>6</w:t>
            </w:r>
            <w:r>
              <w:rPr>
                <w:spacing w:val="67"/>
              </w:rPr>
              <w:t xml:space="preserve"> </w:t>
            </w:r>
            <w:r>
              <w:rPr>
                <w:spacing w:val="-5"/>
              </w:rPr>
              <w:t>月</w:t>
            </w:r>
          </w:p>
        </w:tc>
        <w:tc>
          <w:tcPr>
            <w:tcW w:w="6475" w:type="dxa"/>
          </w:tcPr>
          <w:p>
            <w:pPr>
              <w:rPr>
                <w:snapToGrid w:val="0"/>
                <w:color w:val="000000"/>
                <w:sz w:val="24"/>
                <w:szCs w:val="24"/>
                <w:lang w:eastAsia="en-US"/>
              </w:rPr>
            </w:pPr>
            <w:r>
              <w:rPr>
                <w:rFonts w:hint="eastAsia"/>
                <w:snapToGrid w:val="0"/>
                <w:color w:val="000000"/>
                <w:sz w:val="24"/>
                <w:szCs w:val="24"/>
                <w:lang w:eastAsia="en-US"/>
              </w:rPr>
              <w:t xml:space="preserve"> </w:t>
            </w:r>
            <w:r>
              <w:rPr>
                <w:snapToGrid w:val="0"/>
                <w:color w:val="000000"/>
                <w:sz w:val="24"/>
                <w:szCs w:val="24"/>
                <w:lang w:eastAsia="en-US"/>
              </w:rPr>
              <w:t xml:space="preserve">      </w:t>
            </w:r>
            <w:r>
              <w:rPr>
                <w:rFonts w:hint="eastAsia"/>
                <w:snapToGrid w:val="0"/>
                <w:color w:val="000000"/>
                <w:sz w:val="24"/>
                <w:szCs w:val="24"/>
                <w:lang w:eastAsia="en-US"/>
              </w:rPr>
              <w:t>《贵州火爆“村超”吸引全球目光》</w:t>
            </w:r>
          </w:p>
        </w:tc>
        <w:tc>
          <w:tcPr>
            <w:tcW w:w="1393" w:type="dxa"/>
          </w:tcPr>
          <w:p>
            <w:pPr>
              <w:rPr>
                <w:snapToGrid w:val="0"/>
                <w:color w:val="000000"/>
                <w:sz w:val="24"/>
                <w:szCs w:val="24"/>
                <w:lang w:eastAsia="en-US"/>
              </w:rPr>
            </w:pPr>
            <w:r>
              <w:rPr>
                <w:rFonts w:hint="eastAsia"/>
                <w:snapToGrid w:val="0"/>
                <w:color w:val="000000"/>
                <w:sz w:val="24"/>
                <w:szCs w:val="24"/>
                <w:lang w:eastAsia="en-US"/>
              </w:rPr>
              <w:t>6月1</w:t>
            </w:r>
            <w:r>
              <w:rPr>
                <w:snapToGrid w:val="0"/>
                <w:color w:val="000000"/>
                <w:sz w:val="24"/>
                <w:szCs w:val="24"/>
                <w:lang w:eastAsia="en-US"/>
              </w:rPr>
              <w:t>6</w:t>
            </w:r>
            <w:r>
              <w:rPr>
                <w:rFonts w:hint="eastAsia"/>
                <w:snapToGrid w:val="0"/>
                <w:color w:val="000000"/>
                <w:sz w:val="24"/>
                <w:szCs w:val="24"/>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1019" w:type="dxa"/>
          </w:tcPr>
          <w:p>
            <w:pPr>
              <w:pStyle w:val="6"/>
              <w:spacing w:before="216" w:line="185" w:lineRule="auto"/>
              <w:ind w:left="195"/>
            </w:pPr>
            <w:r>
              <w:rPr>
                <w:spacing w:val="-3"/>
              </w:rPr>
              <w:t>7</w:t>
            </w:r>
            <w:r>
              <w:rPr>
                <w:spacing w:val="66"/>
              </w:rPr>
              <w:t xml:space="preserve"> </w:t>
            </w:r>
            <w:r>
              <w:rPr>
                <w:spacing w:val="-3"/>
              </w:rPr>
              <w:t>月</w:t>
            </w:r>
          </w:p>
        </w:tc>
        <w:tc>
          <w:tcPr>
            <w:tcW w:w="6475" w:type="dxa"/>
          </w:tcPr>
          <w:p>
            <w:pPr>
              <w:rPr>
                <w:snapToGrid w:val="0"/>
                <w:color w:val="000000"/>
                <w:sz w:val="24"/>
                <w:szCs w:val="24"/>
                <w:lang w:eastAsia="en-US"/>
              </w:rPr>
            </w:pPr>
            <w:r>
              <w:rPr>
                <w:rFonts w:hint="eastAsia"/>
                <w:snapToGrid w:val="0"/>
                <w:color w:val="000000"/>
                <w:sz w:val="24"/>
                <w:szCs w:val="24"/>
                <w:lang w:eastAsia="en-US"/>
              </w:rPr>
              <w:t xml:space="preserve"> </w:t>
            </w:r>
            <w:r>
              <w:rPr>
                <w:snapToGrid w:val="0"/>
                <w:color w:val="000000"/>
                <w:sz w:val="24"/>
                <w:szCs w:val="24"/>
                <w:lang w:eastAsia="en-US"/>
              </w:rPr>
              <w:t xml:space="preserve">   </w:t>
            </w:r>
            <w:r>
              <w:rPr>
                <w:rFonts w:hint="eastAsia"/>
                <w:snapToGrid w:val="0"/>
                <w:color w:val="000000"/>
                <w:sz w:val="24"/>
                <w:szCs w:val="24"/>
                <w:lang w:eastAsia="en-US"/>
              </w:rPr>
              <w:t>《德国的共产党国际关系书记访华观感 中国减贫和摩天大楼令人印象深刻》</w:t>
            </w:r>
          </w:p>
        </w:tc>
        <w:tc>
          <w:tcPr>
            <w:tcW w:w="1393" w:type="dxa"/>
          </w:tcPr>
          <w:p>
            <w:pPr>
              <w:rPr>
                <w:snapToGrid w:val="0"/>
                <w:color w:val="000000"/>
                <w:sz w:val="24"/>
                <w:szCs w:val="24"/>
                <w:lang w:eastAsia="en-US"/>
              </w:rPr>
            </w:pPr>
            <w:r>
              <w:rPr>
                <w:rFonts w:hint="eastAsia"/>
                <w:snapToGrid w:val="0"/>
                <w:color w:val="000000"/>
                <w:sz w:val="24"/>
                <w:szCs w:val="24"/>
                <w:lang w:eastAsia="en-US"/>
              </w:rPr>
              <w:t xml:space="preserve">7月5日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1019" w:type="dxa"/>
          </w:tcPr>
          <w:p>
            <w:pPr>
              <w:pStyle w:val="6"/>
              <w:spacing w:before="219" w:line="185" w:lineRule="auto"/>
              <w:ind w:left="195"/>
            </w:pPr>
            <w:r>
              <w:rPr>
                <w:spacing w:val="-3"/>
              </w:rPr>
              <w:t>8</w:t>
            </w:r>
            <w:r>
              <w:rPr>
                <w:spacing w:val="66"/>
              </w:rPr>
              <w:t xml:space="preserve"> </w:t>
            </w:r>
            <w:r>
              <w:rPr>
                <w:spacing w:val="-3"/>
              </w:rPr>
              <w:t>月</w:t>
            </w:r>
          </w:p>
        </w:tc>
        <w:tc>
          <w:tcPr>
            <w:tcW w:w="6475" w:type="dxa"/>
          </w:tcPr>
          <w:p>
            <w:pPr>
              <w:rPr>
                <w:snapToGrid w:val="0"/>
                <w:color w:val="000000"/>
                <w:sz w:val="24"/>
                <w:szCs w:val="24"/>
                <w:lang w:eastAsia="en-US"/>
              </w:rPr>
            </w:pPr>
            <w:r>
              <w:rPr>
                <w:rFonts w:hint="eastAsia"/>
                <w:snapToGrid w:val="0"/>
                <w:color w:val="000000"/>
                <w:sz w:val="24"/>
                <w:szCs w:val="24"/>
                <w:lang w:eastAsia="en-US"/>
              </w:rPr>
              <w:t xml:space="preserve"> </w:t>
            </w:r>
            <w:r>
              <w:rPr>
                <w:snapToGrid w:val="0"/>
                <w:color w:val="000000"/>
                <w:sz w:val="24"/>
                <w:szCs w:val="24"/>
                <w:lang w:eastAsia="en-US"/>
              </w:rPr>
              <w:t xml:space="preserve">      </w:t>
            </w:r>
            <w:r>
              <w:rPr>
                <w:rFonts w:hint="eastAsia"/>
                <w:snapToGrid w:val="0"/>
                <w:color w:val="000000"/>
                <w:sz w:val="24"/>
                <w:szCs w:val="24"/>
                <w:lang w:eastAsia="en-US"/>
              </w:rPr>
              <w:t>《英媒述评 合肥科技集群崛起创造经济奇迹》</w:t>
            </w:r>
          </w:p>
        </w:tc>
        <w:tc>
          <w:tcPr>
            <w:tcW w:w="1393" w:type="dxa"/>
          </w:tcPr>
          <w:p>
            <w:pPr>
              <w:rPr>
                <w:snapToGrid w:val="0"/>
                <w:color w:val="000000"/>
                <w:sz w:val="24"/>
                <w:szCs w:val="24"/>
                <w:lang w:eastAsia="en-US"/>
              </w:rPr>
            </w:pPr>
            <w:r>
              <w:rPr>
                <w:rFonts w:hint="eastAsia"/>
                <w:snapToGrid w:val="0"/>
                <w:color w:val="000000"/>
                <w:sz w:val="24"/>
                <w:szCs w:val="24"/>
                <w:lang w:eastAsia="en-US"/>
              </w:rPr>
              <w:t>8月8日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1019" w:type="dxa"/>
          </w:tcPr>
          <w:p>
            <w:pPr>
              <w:pStyle w:val="6"/>
              <w:spacing w:before="218" w:line="185" w:lineRule="auto"/>
              <w:ind w:left="191"/>
            </w:pPr>
            <w:r>
              <w:rPr>
                <w:spacing w:val="-2"/>
              </w:rPr>
              <w:t>9</w:t>
            </w:r>
            <w:r>
              <w:rPr>
                <w:spacing w:val="67"/>
              </w:rPr>
              <w:t xml:space="preserve"> </w:t>
            </w:r>
            <w:r>
              <w:rPr>
                <w:spacing w:val="-2"/>
              </w:rPr>
              <w:t>月</w:t>
            </w:r>
          </w:p>
        </w:tc>
        <w:tc>
          <w:tcPr>
            <w:tcW w:w="6475" w:type="dxa"/>
          </w:tcPr>
          <w:p>
            <w:pPr>
              <w:rPr>
                <w:snapToGrid w:val="0"/>
                <w:color w:val="000000"/>
                <w:sz w:val="24"/>
                <w:szCs w:val="24"/>
                <w:lang w:eastAsia="en-US"/>
              </w:rPr>
            </w:pPr>
            <w:r>
              <w:rPr>
                <w:rFonts w:hint="eastAsia"/>
                <w:snapToGrid w:val="0"/>
                <w:color w:val="000000"/>
                <w:sz w:val="24"/>
                <w:szCs w:val="24"/>
                <w:lang w:eastAsia="en-US"/>
              </w:rPr>
              <w:t xml:space="preserve"> </w:t>
            </w:r>
            <w:r>
              <w:rPr>
                <w:snapToGrid w:val="0"/>
                <w:color w:val="000000"/>
                <w:sz w:val="24"/>
                <w:szCs w:val="24"/>
                <w:lang w:eastAsia="en-US"/>
              </w:rPr>
              <w:t xml:space="preserve">      </w:t>
            </w:r>
            <w:r>
              <w:rPr>
                <w:rFonts w:hint="eastAsia"/>
                <w:snapToGrid w:val="0"/>
                <w:color w:val="000000"/>
                <w:sz w:val="24"/>
                <w:szCs w:val="24"/>
                <w:lang w:eastAsia="en-US"/>
              </w:rPr>
              <w:t>《外电报道 古老“瓷都”成中国年轻人新宠》</w:t>
            </w:r>
          </w:p>
        </w:tc>
        <w:tc>
          <w:tcPr>
            <w:tcW w:w="1393" w:type="dxa"/>
          </w:tcPr>
          <w:p>
            <w:pPr>
              <w:rPr>
                <w:snapToGrid w:val="0"/>
                <w:color w:val="000000"/>
                <w:sz w:val="24"/>
                <w:szCs w:val="24"/>
                <w:lang w:eastAsia="en-US"/>
              </w:rPr>
            </w:pPr>
            <w:r>
              <w:rPr>
                <w:rFonts w:hint="eastAsia"/>
                <w:snapToGrid w:val="0"/>
                <w:color w:val="000000"/>
                <w:sz w:val="24"/>
                <w:szCs w:val="24"/>
                <w:lang w:eastAsia="en-US"/>
              </w:rPr>
              <w:t>9月2</w:t>
            </w:r>
            <w:r>
              <w:rPr>
                <w:snapToGrid w:val="0"/>
                <w:color w:val="000000"/>
                <w:sz w:val="24"/>
                <w:szCs w:val="24"/>
                <w:lang w:eastAsia="en-US"/>
              </w:rPr>
              <w:t>0</w:t>
            </w:r>
            <w:r>
              <w:rPr>
                <w:rFonts w:hint="eastAsia"/>
                <w:snapToGrid w:val="0"/>
                <w:color w:val="000000"/>
                <w:sz w:val="24"/>
                <w:szCs w:val="24"/>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1019" w:type="dxa"/>
          </w:tcPr>
          <w:p>
            <w:pPr>
              <w:pStyle w:val="6"/>
              <w:spacing w:before="218" w:line="185" w:lineRule="auto"/>
              <w:ind w:left="140"/>
            </w:pPr>
            <w:r>
              <w:rPr>
                <w:spacing w:val="-9"/>
              </w:rPr>
              <w:t>10</w:t>
            </w:r>
            <w:r>
              <w:rPr>
                <w:spacing w:val="66"/>
              </w:rPr>
              <w:t xml:space="preserve"> </w:t>
            </w:r>
            <w:r>
              <w:rPr>
                <w:spacing w:val="-9"/>
              </w:rPr>
              <w:t>月</w:t>
            </w:r>
          </w:p>
        </w:tc>
        <w:tc>
          <w:tcPr>
            <w:tcW w:w="6475" w:type="dxa"/>
          </w:tcPr>
          <w:p>
            <w:pPr>
              <w:rPr>
                <w:snapToGrid w:val="0"/>
                <w:color w:val="000000"/>
                <w:sz w:val="24"/>
                <w:szCs w:val="24"/>
                <w:lang w:eastAsia="en-US"/>
              </w:rPr>
            </w:pPr>
            <w:r>
              <w:rPr>
                <w:rFonts w:hint="eastAsia"/>
                <w:snapToGrid w:val="0"/>
                <w:color w:val="000000"/>
                <w:sz w:val="24"/>
                <w:szCs w:val="24"/>
                <w:lang w:eastAsia="en-US"/>
              </w:rPr>
              <w:t xml:space="preserve"> </w:t>
            </w:r>
            <w:r>
              <w:rPr>
                <w:snapToGrid w:val="0"/>
                <w:color w:val="000000"/>
                <w:sz w:val="24"/>
                <w:szCs w:val="24"/>
                <w:lang w:eastAsia="en-US"/>
              </w:rPr>
              <w:t xml:space="preserve">     </w:t>
            </w:r>
            <w:r>
              <w:rPr>
                <w:rFonts w:hint="eastAsia"/>
                <w:snapToGrid w:val="0"/>
                <w:color w:val="000000"/>
                <w:sz w:val="24"/>
                <w:szCs w:val="24"/>
                <w:lang w:eastAsia="en-US"/>
              </w:rPr>
              <w:t>《巴媒述评 中国减贫办法多样效果显著》</w:t>
            </w:r>
          </w:p>
        </w:tc>
        <w:tc>
          <w:tcPr>
            <w:tcW w:w="1393" w:type="dxa"/>
          </w:tcPr>
          <w:p>
            <w:pPr>
              <w:rPr>
                <w:snapToGrid w:val="0"/>
                <w:color w:val="000000"/>
                <w:sz w:val="24"/>
                <w:szCs w:val="24"/>
                <w:lang w:eastAsia="en-US"/>
              </w:rPr>
            </w:pPr>
            <w:r>
              <w:rPr>
                <w:rFonts w:hint="eastAsia"/>
                <w:snapToGrid w:val="0"/>
                <w:color w:val="000000"/>
                <w:sz w:val="24"/>
                <w:szCs w:val="24"/>
                <w:lang w:eastAsia="en-US"/>
              </w:rPr>
              <w:t>1</w:t>
            </w:r>
            <w:r>
              <w:rPr>
                <w:snapToGrid w:val="0"/>
                <w:color w:val="000000"/>
                <w:sz w:val="24"/>
                <w:szCs w:val="24"/>
                <w:lang w:eastAsia="en-US"/>
              </w:rPr>
              <w:t>0</w:t>
            </w:r>
            <w:r>
              <w:rPr>
                <w:rFonts w:hint="eastAsia"/>
                <w:snapToGrid w:val="0"/>
                <w:color w:val="000000"/>
                <w:sz w:val="24"/>
                <w:szCs w:val="24"/>
                <w:lang w:eastAsia="en-US"/>
              </w:rPr>
              <w:t>月9日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1019" w:type="dxa"/>
          </w:tcPr>
          <w:p>
            <w:pPr>
              <w:pStyle w:val="6"/>
              <w:spacing w:before="221" w:line="185" w:lineRule="auto"/>
              <w:ind w:left="140"/>
            </w:pPr>
            <w:r>
              <w:rPr>
                <w:spacing w:val="-9"/>
              </w:rPr>
              <w:t>11</w:t>
            </w:r>
            <w:r>
              <w:rPr>
                <w:spacing w:val="66"/>
              </w:rPr>
              <w:t xml:space="preserve"> </w:t>
            </w:r>
            <w:r>
              <w:rPr>
                <w:spacing w:val="-9"/>
              </w:rPr>
              <w:t>月</w:t>
            </w:r>
          </w:p>
        </w:tc>
        <w:tc>
          <w:tcPr>
            <w:tcW w:w="6475" w:type="dxa"/>
          </w:tcPr>
          <w:p>
            <w:pPr>
              <w:rPr>
                <w:snapToGrid w:val="0"/>
                <w:color w:val="000000"/>
                <w:sz w:val="24"/>
                <w:szCs w:val="24"/>
                <w:lang w:eastAsia="en-US"/>
              </w:rPr>
            </w:pPr>
            <w:r>
              <w:rPr>
                <w:rFonts w:hint="eastAsia"/>
                <w:snapToGrid w:val="0"/>
                <w:color w:val="000000"/>
                <w:sz w:val="24"/>
                <w:szCs w:val="24"/>
                <w:lang w:eastAsia="en-US"/>
              </w:rPr>
              <w:t xml:space="preserve"> </w:t>
            </w:r>
            <w:r>
              <w:rPr>
                <w:snapToGrid w:val="0"/>
                <w:color w:val="000000"/>
                <w:sz w:val="24"/>
                <w:szCs w:val="24"/>
                <w:lang w:eastAsia="en-US"/>
              </w:rPr>
              <w:t xml:space="preserve">   </w:t>
            </w:r>
            <w:r>
              <w:rPr>
                <w:rFonts w:hint="eastAsia"/>
                <w:snapToGrid w:val="0"/>
                <w:color w:val="000000"/>
                <w:sz w:val="24"/>
                <w:szCs w:val="24"/>
                <w:lang w:eastAsia="en-US"/>
              </w:rPr>
              <w:t>《“中国脱贫实践为世界提供宝贵经验”——多国人士热议“精准扶贫”成果》</w:t>
            </w:r>
          </w:p>
        </w:tc>
        <w:tc>
          <w:tcPr>
            <w:tcW w:w="1393" w:type="dxa"/>
          </w:tcPr>
          <w:p>
            <w:pPr>
              <w:rPr>
                <w:snapToGrid w:val="0"/>
                <w:color w:val="000000"/>
                <w:sz w:val="24"/>
                <w:szCs w:val="24"/>
                <w:lang w:eastAsia="en-US"/>
              </w:rPr>
            </w:pPr>
            <w:r>
              <w:rPr>
                <w:rFonts w:hint="eastAsia"/>
                <w:snapToGrid w:val="0"/>
                <w:color w:val="000000"/>
                <w:sz w:val="24"/>
                <w:szCs w:val="24"/>
                <w:lang w:eastAsia="en-US"/>
              </w:rPr>
              <w:t xml:space="preserve"> </w:t>
            </w:r>
            <w:r>
              <w:rPr>
                <w:snapToGrid w:val="0"/>
                <w:color w:val="000000"/>
                <w:sz w:val="24"/>
                <w:szCs w:val="24"/>
                <w:lang w:eastAsia="en-US"/>
              </w:rPr>
              <w:t>11</w:t>
            </w:r>
            <w:r>
              <w:rPr>
                <w:rFonts w:hint="eastAsia"/>
                <w:snapToGrid w:val="0"/>
                <w:color w:val="000000"/>
                <w:sz w:val="24"/>
                <w:szCs w:val="24"/>
                <w:lang w:eastAsia="en-US"/>
              </w:rPr>
              <w:t>月</w:t>
            </w:r>
            <w:r>
              <w:rPr>
                <w:snapToGrid w:val="0"/>
                <w:color w:val="000000"/>
                <w:sz w:val="24"/>
                <w:szCs w:val="24"/>
                <w:lang w:eastAsia="en-US"/>
              </w:rPr>
              <w:t>9</w:t>
            </w:r>
            <w:r>
              <w:rPr>
                <w:rFonts w:hint="eastAsia"/>
                <w:snapToGrid w:val="0"/>
                <w:color w:val="000000"/>
                <w:sz w:val="24"/>
                <w:szCs w:val="24"/>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1019" w:type="dxa"/>
          </w:tcPr>
          <w:p>
            <w:pPr>
              <w:pStyle w:val="6"/>
              <w:spacing w:before="219" w:line="185" w:lineRule="auto"/>
              <w:ind w:left="140"/>
            </w:pPr>
            <w:r>
              <w:rPr>
                <w:spacing w:val="-9"/>
              </w:rPr>
              <w:t>12</w:t>
            </w:r>
            <w:r>
              <w:rPr>
                <w:spacing w:val="66"/>
              </w:rPr>
              <w:t xml:space="preserve"> </w:t>
            </w:r>
            <w:r>
              <w:rPr>
                <w:spacing w:val="-9"/>
              </w:rPr>
              <w:t>月</w:t>
            </w:r>
          </w:p>
        </w:tc>
        <w:tc>
          <w:tcPr>
            <w:tcW w:w="6475" w:type="dxa"/>
          </w:tcPr>
          <w:p>
            <w:pPr>
              <w:rPr>
                <w:snapToGrid w:val="0"/>
                <w:color w:val="000000"/>
                <w:sz w:val="24"/>
                <w:szCs w:val="24"/>
                <w:lang w:eastAsia="en-US"/>
              </w:rPr>
            </w:pPr>
            <w:r>
              <w:rPr>
                <w:rFonts w:hint="eastAsia"/>
                <w:snapToGrid w:val="0"/>
                <w:color w:val="000000"/>
                <w:sz w:val="24"/>
                <w:szCs w:val="24"/>
                <w:lang w:eastAsia="en-US"/>
              </w:rPr>
              <w:t xml:space="preserve"> </w:t>
            </w:r>
            <w:r>
              <w:rPr>
                <w:snapToGrid w:val="0"/>
                <w:color w:val="000000"/>
                <w:sz w:val="24"/>
                <w:szCs w:val="24"/>
                <w:lang w:eastAsia="en-US"/>
              </w:rPr>
              <w:t xml:space="preserve">      </w:t>
            </w:r>
            <w:r>
              <w:rPr>
                <w:rFonts w:hint="eastAsia"/>
                <w:snapToGrid w:val="0"/>
                <w:color w:val="000000"/>
                <w:sz w:val="24"/>
                <w:szCs w:val="24"/>
                <w:lang w:eastAsia="en-US"/>
              </w:rPr>
              <w:t>《德国记者实地走访感受美丽藏区》</w:t>
            </w:r>
          </w:p>
        </w:tc>
        <w:tc>
          <w:tcPr>
            <w:tcW w:w="1393" w:type="dxa"/>
          </w:tcPr>
          <w:p>
            <w:pPr>
              <w:rPr>
                <w:snapToGrid w:val="0"/>
                <w:color w:val="000000"/>
                <w:sz w:val="24"/>
                <w:szCs w:val="24"/>
                <w:lang w:eastAsia="en-US"/>
              </w:rPr>
            </w:pPr>
            <w:r>
              <w:rPr>
                <w:rFonts w:hint="eastAsia"/>
                <w:snapToGrid w:val="0"/>
                <w:color w:val="000000"/>
                <w:sz w:val="24"/>
                <w:szCs w:val="24"/>
                <w:lang w:eastAsia="en-US"/>
              </w:rPr>
              <w:t>1</w:t>
            </w:r>
            <w:r>
              <w:rPr>
                <w:snapToGrid w:val="0"/>
                <w:color w:val="000000"/>
                <w:sz w:val="24"/>
                <w:szCs w:val="24"/>
                <w:lang w:eastAsia="en-US"/>
              </w:rPr>
              <w:t>2</w:t>
            </w:r>
            <w:r>
              <w:rPr>
                <w:rFonts w:hint="eastAsia"/>
                <w:snapToGrid w:val="0"/>
                <w:color w:val="000000"/>
                <w:sz w:val="24"/>
                <w:szCs w:val="24"/>
                <w:lang w:eastAsia="en-US"/>
              </w:rPr>
              <w:t>月1</w:t>
            </w:r>
            <w:r>
              <w:rPr>
                <w:snapToGrid w:val="0"/>
                <w:color w:val="000000"/>
                <w:sz w:val="24"/>
                <w:szCs w:val="24"/>
                <w:lang w:eastAsia="en-US"/>
              </w:rPr>
              <w:t>0</w:t>
            </w:r>
            <w:r>
              <w:rPr>
                <w:rFonts w:hint="eastAsia"/>
                <w:snapToGrid w:val="0"/>
                <w:color w:val="000000"/>
                <w:sz w:val="24"/>
                <w:szCs w:val="24"/>
                <w:lang w:eastAsia="en-US"/>
              </w:rPr>
              <w:t>日</w:t>
            </w:r>
          </w:p>
        </w:tc>
      </w:tr>
    </w:tbl>
    <w:p>
      <w:pPr>
        <w:widowControl w:val="0"/>
        <w:autoSpaceDE w:val="0"/>
        <w:autoSpaceDN w:val="0"/>
        <w:adjustRightInd w:val="0"/>
        <w:spacing w:line="420" w:lineRule="exact"/>
        <w:jc w:val="both"/>
        <w:rPr>
          <w:rFonts w:ascii="楷体" w:hAnsi="楷体" w:eastAsia="楷体"/>
          <w:b/>
          <w:bCs/>
          <w:sz w:val="28"/>
          <w:szCs w:val="28"/>
        </w:rPr>
      </w:pPr>
    </w:p>
    <w:p>
      <w:pPr>
        <w:widowControl w:val="0"/>
        <w:autoSpaceDE w:val="0"/>
        <w:autoSpaceDN w:val="0"/>
        <w:adjustRightInd w:val="0"/>
        <w:spacing w:line="420" w:lineRule="exact"/>
        <w:jc w:val="both"/>
        <w:rPr>
          <w:rFonts w:ascii="仿宋_GB2312" w:hAnsi="仿宋" w:eastAsia="仿宋_GB2312" w:cs="华文中宋"/>
          <w:sz w:val="24"/>
          <w:szCs w:val="24"/>
        </w:rPr>
      </w:pPr>
      <w:r>
        <w:rPr>
          <w:rFonts w:hint="eastAsia" w:ascii="楷体" w:eastAsia="楷体"/>
          <w:sz w:val="28"/>
        </w:rPr>
        <w:t>填写连续12个月每月第二周刊载的作品标题（如遇重大节假日或重大事件，顺延一周），日刊栏目填写每月第二周任意一天刊载的作品标题，动态消息集纳式栏目填报栏目名称。</w:t>
      </w:r>
    </w:p>
    <w:p>
      <w:pPr>
        <w:widowControl w:val="0"/>
        <w:autoSpaceDE w:val="0"/>
        <w:autoSpaceDN w:val="0"/>
        <w:adjustRightInd w:val="0"/>
        <w:spacing w:line="420" w:lineRule="exact"/>
        <w:jc w:val="both"/>
        <w:rPr>
          <w:rFonts w:ascii="仿宋_GB2312" w:hAnsi="仿宋" w:eastAsia="仿宋_GB2312" w:cs="华文中宋"/>
          <w:sz w:val="24"/>
          <w:szCs w:val="24"/>
        </w:rPr>
      </w:pPr>
    </w:p>
    <w:p>
      <w:pPr>
        <w:widowControl w:val="0"/>
        <w:autoSpaceDE w:val="0"/>
        <w:autoSpaceDN w:val="0"/>
        <w:adjustRightInd w:val="0"/>
        <w:spacing w:line="420" w:lineRule="exact"/>
        <w:jc w:val="both"/>
        <w:rPr>
          <w:rFonts w:ascii="楷体" w:hAnsi="楷体" w:eastAsia="楷体"/>
          <w:b/>
          <w:bCs/>
          <w:sz w:val="28"/>
          <w:szCs w:val="28"/>
        </w:rPr>
      </w:pPr>
    </w:p>
    <w:p>
      <w:pPr>
        <w:widowControl w:val="0"/>
        <w:autoSpaceDE w:val="0"/>
        <w:autoSpaceDN w:val="0"/>
        <w:adjustRightInd w:val="0"/>
        <w:spacing w:line="420" w:lineRule="exact"/>
        <w:jc w:val="both"/>
        <w:rPr>
          <w:rFonts w:ascii="楷体" w:hAnsi="楷体" w:eastAsia="楷体"/>
          <w:b/>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altName w:val="方正舒体"/>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0OGU4ZWEzYTFhZTdkYTA1MWQyMDVhMzA0ODI5NDYifQ=="/>
  </w:docVars>
  <w:rsids>
    <w:rsidRoot w:val="00A442E2"/>
    <w:rsid w:val="00145D6F"/>
    <w:rsid w:val="004061AD"/>
    <w:rsid w:val="006C313A"/>
    <w:rsid w:val="00796EFF"/>
    <w:rsid w:val="00867F31"/>
    <w:rsid w:val="0093499A"/>
    <w:rsid w:val="009623C9"/>
    <w:rsid w:val="00A442E2"/>
    <w:rsid w:val="00BA1ED8"/>
    <w:rsid w:val="00BD3220"/>
    <w:rsid w:val="00CE4CE0"/>
    <w:rsid w:val="00EF2FF7"/>
    <w:rsid w:val="00FD7DE3"/>
    <w:rsid w:val="00FE07E4"/>
    <w:rsid w:val="1D495C5A"/>
    <w:rsid w:val="24C5269B"/>
    <w:rsid w:val="4B003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Calibri" w:hAnsi="Calibri" w:eastAsia="宋体" w:cs="Times New Roman"/>
      <w:kern w:val="2"/>
      <w:sz w:val="21"/>
      <w:szCs w:val="22"/>
      <w:lang w:val="en-US" w:eastAsia="zh-CN" w:bidi="ar-SA"/>
    </w:rPr>
  </w:style>
  <w:style w:type="character" w:default="1" w:styleId="3">
    <w:name w:val="Default Paragraph Font"/>
    <w:autoRedefine/>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Table Paragraph"/>
    <w:basedOn w:val="1"/>
    <w:autoRedefine/>
    <w:qFormat/>
    <w:uiPriority w:val="1"/>
    <w:pPr>
      <w:widowControl w:val="0"/>
      <w:autoSpaceDE w:val="0"/>
      <w:autoSpaceDN w:val="0"/>
    </w:pPr>
    <w:rPr>
      <w:rFonts w:ascii="仿宋" w:hAnsi="仿宋" w:eastAsia="仿宋" w:cs="仿宋"/>
      <w:kern w:val="0"/>
      <w:sz w:val="22"/>
      <w:lang w:val="zh-CN" w:bidi="zh-CN"/>
    </w:rPr>
  </w:style>
  <w:style w:type="table" w:customStyle="1" w:styleId="5">
    <w:name w:val="Table Normal"/>
    <w:autoRedefine/>
    <w:semiHidden/>
    <w:unhideWhenUsed/>
    <w:qFormat/>
    <w:uiPriority w:val="0"/>
    <w:rPr>
      <w:rFonts w:ascii="Arial" w:hAnsi="Arial" w:cs="Arial"/>
      <w:snapToGrid w:val="0"/>
      <w:color w:val="000000"/>
      <w:sz w:val="21"/>
      <w:szCs w:val="21"/>
      <w:lang w:eastAsia="en-US"/>
    </w:rPr>
    <w:tblPr>
      <w:tblCellMar>
        <w:top w:w="0" w:type="dxa"/>
        <w:left w:w="0" w:type="dxa"/>
        <w:bottom w:w="0" w:type="dxa"/>
        <w:right w:w="0" w:type="dxa"/>
      </w:tblCellMar>
    </w:tblPr>
  </w:style>
  <w:style w:type="paragraph" w:customStyle="1" w:styleId="6">
    <w:name w:val="Table Text"/>
    <w:basedOn w:val="1"/>
    <w:autoRedefine/>
    <w:semiHidden/>
    <w:qFormat/>
    <w:uiPriority w:val="0"/>
    <w:pPr>
      <w:kinsoku w:val="0"/>
      <w:autoSpaceDE w:val="0"/>
      <w:autoSpaceDN w:val="0"/>
      <w:adjustRightInd w:val="0"/>
      <w:snapToGrid w:val="0"/>
      <w:textAlignment w:val="baseline"/>
    </w:pPr>
    <w:rPr>
      <w:rFonts w:ascii="微软雅黑" w:hAnsi="微软雅黑" w:eastAsia="微软雅黑" w:cs="微软雅黑"/>
      <w:snapToGrid w:val="0"/>
      <w:color w:val="000000"/>
      <w:kern w:val="0"/>
      <w:sz w:val="28"/>
      <w:szCs w:val="28"/>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616</Words>
  <Characters>3515</Characters>
  <Lines>29</Lines>
  <Paragraphs>8</Paragraphs>
  <TotalTime>2</TotalTime>
  <ScaleCrop>false</ScaleCrop>
  <LinksUpToDate>false</LinksUpToDate>
  <CharactersWithSpaces>4123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2024-04-10T06:10:00Z</dcterms:created>
  <dc:creator>z1391</dc:creator>
  <cp:lastModifiedBy>火焱</cp:lastModifiedBy>
  <dcterms:modified xsi:type="dcterms:W3CDTF">2024-04-18T08:57:45Z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5CE4388927424EDBA4178D70B0634E26_12</vt:lpwstr>
  </property>
</Properties>
</file>