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华文中宋" w:hAnsi="华文中宋" w:eastAsia="华文中宋"/>
          <w:sz w:val="32"/>
          <w:szCs w:val="32"/>
        </w:rPr>
      </w:pPr>
      <w:r>
        <w:rPr>
          <w:rFonts w:hint="eastAsia" w:ascii="方正小标宋简体" w:hAnsi="华文中宋" w:eastAsia="方正小标宋简体"/>
          <w:sz w:val="36"/>
          <w:szCs w:val="28"/>
        </w:rPr>
        <w:t>中国新闻奖报纸、通讯社新</w:t>
      </w:r>
      <w:bookmarkStart w:id="0" w:name="_GoBack"/>
      <w:bookmarkEnd w:id="0"/>
      <w:r>
        <w:rPr>
          <w:rFonts w:hint="eastAsia" w:ascii="方正小标宋简体" w:hAnsi="华文中宋" w:eastAsia="方正小标宋简体"/>
          <w:sz w:val="36"/>
          <w:szCs w:val="28"/>
        </w:rPr>
        <w:t>闻专栏参评作品推荐表</w:t>
      </w:r>
    </w:p>
    <w:tbl>
      <w:tblPr>
        <w:tblStyle w:val="4"/>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424"/>
        <w:gridCol w:w="2978"/>
        <w:gridCol w:w="1560"/>
        <w:gridCol w:w="3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栏目名称</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 w:hAnsi="仿宋" w:eastAsia="仿宋" w:cs="仿宋"/>
              </w:rPr>
              <w:t>司法新观察</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创办时间</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 w:hAnsi="仿宋" w:eastAsia="仿宋" w:cs="仿宋"/>
                <w:sz w:val="28"/>
                <w:szCs w:val="28"/>
                <w:lang w:val="zh-CN"/>
              </w:rPr>
              <w:t>2010年1月1日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原创单位</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 w:hAnsi="仿宋" w:eastAsia="仿宋" w:cs="仿宋"/>
              </w:rPr>
              <w:t>人民法院新闻传媒总社</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821" w:type="dxa"/>
            <w:vAlign w:val="center"/>
          </w:tcPr>
          <w:p>
            <w:r>
              <w:rPr>
                <w:rFonts w:hint="eastAsia" w:ascii="仿宋" w:hAnsi="仿宋" w:eastAsia="仿宋" w:cs="仿宋"/>
              </w:rPr>
              <w:t>人民法院报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字数</w:t>
            </w:r>
          </w:p>
        </w:tc>
        <w:tc>
          <w:tcPr>
            <w:tcW w:w="2978" w:type="dxa"/>
            <w:vAlign w:val="center"/>
          </w:tcPr>
          <w:p>
            <w:pPr>
              <w:widowControl w:val="0"/>
              <w:autoSpaceDE w:val="0"/>
              <w:autoSpaceDN w:val="0"/>
              <w:adjustRightInd w:val="0"/>
              <w:spacing w:line="560" w:lineRule="exact"/>
              <w:jc w:val="center"/>
              <w:rPr>
                <w:rFonts w:hint="default" w:ascii="仿宋_GB2312" w:hAnsi="华文仿宋" w:eastAsia="仿宋_GB2312" w:cs="仿宋"/>
                <w:sz w:val="28"/>
                <w:szCs w:val="28"/>
                <w:lang w:val="en-US" w:eastAsia="zh-CN"/>
              </w:rPr>
            </w:pPr>
            <w:r>
              <w:rPr>
                <w:rFonts w:hint="eastAsia" w:ascii="仿宋_GB2312" w:hAnsi="华文仿宋" w:eastAsia="仿宋_GB2312" w:cs="仿宋"/>
                <w:sz w:val="28"/>
                <w:szCs w:val="28"/>
                <w:lang w:val="en-US" w:eastAsia="zh-CN"/>
              </w:rPr>
              <w:t xml:space="preserve">4654字 </w:t>
            </w:r>
          </w:p>
        </w:tc>
        <w:tc>
          <w:tcPr>
            <w:tcW w:w="1560" w:type="dxa"/>
            <w:vAlign w:val="center"/>
          </w:tcPr>
          <w:p>
            <w:pPr>
              <w:widowControl w:val="0"/>
              <w:autoSpaceDE w:val="0"/>
              <w:autoSpaceDN w:val="0"/>
              <w:adjustRightInd w:val="0"/>
              <w:spacing w:line="560" w:lineRule="exact"/>
              <w:jc w:val="center"/>
              <w:rPr>
                <w:rFonts w:ascii="华文中宋" w:hAnsi="华文中宋" w:eastAsia="华文中宋"/>
                <w:color w:val="000000"/>
                <w:sz w:val="28"/>
                <w:szCs w:val="28"/>
              </w:rPr>
            </w:pPr>
            <w:r>
              <w:rPr>
                <w:rFonts w:hint="eastAsia" w:ascii="华文中宋" w:hAnsi="华文中宋" w:eastAsia="华文中宋"/>
                <w:sz w:val="28"/>
                <w:szCs w:val="28"/>
              </w:rPr>
              <w:t>语种</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汉语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color w:val="000000"/>
                <w:sz w:val="28"/>
                <w:szCs w:val="28"/>
              </w:rPr>
              <w:t>刊播</w:t>
            </w:r>
            <w:r>
              <w:rPr>
                <w:rFonts w:hint="eastAsia" w:ascii="华文中宋" w:hAnsi="华文中宋" w:eastAsia="华文中宋"/>
                <w:sz w:val="28"/>
                <w:szCs w:val="28"/>
              </w:rPr>
              <w:t>周期</w:t>
            </w:r>
          </w:p>
        </w:tc>
        <w:tc>
          <w:tcPr>
            <w:tcW w:w="2978"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每周两期</w:t>
            </w:r>
          </w:p>
        </w:tc>
        <w:tc>
          <w:tcPr>
            <w:tcW w:w="1560" w:type="dxa"/>
            <w:vAlign w:val="center"/>
          </w:tcPr>
          <w:p>
            <w:pPr>
              <w:widowControl w:val="0"/>
              <w:autoSpaceDE w:val="0"/>
              <w:autoSpaceDN w:val="0"/>
              <w:adjustRightInd w:val="0"/>
              <w:spacing w:line="560" w:lineRule="exact"/>
              <w:jc w:val="center"/>
              <w:rPr>
                <w:rFonts w:ascii="仿宋_GB2312" w:hAnsi="华文仿宋" w:eastAsia="仿宋_GB2312" w:cs="仿宋"/>
                <w:color w:val="000000"/>
                <w:sz w:val="28"/>
                <w:szCs w:val="28"/>
                <w:lang w:val="zh-CN"/>
              </w:rPr>
            </w:pPr>
            <w:r>
              <w:rPr>
                <w:rFonts w:hint="eastAsia" w:ascii="华文中宋" w:hAnsi="华文中宋" w:eastAsia="华文中宋"/>
                <w:color w:val="000000"/>
                <w:sz w:val="28"/>
                <w:szCs w:val="28"/>
              </w:rPr>
              <w:t>刊播版面</w:t>
            </w:r>
          </w:p>
        </w:tc>
        <w:tc>
          <w:tcPr>
            <w:tcW w:w="3821" w:type="dxa"/>
            <w:vAlign w:val="center"/>
          </w:tcPr>
          <w:p>
            <w:pPr>
              <w:widowControl w:val="0"/>
              <w:autoSpaceDE w:val="0"/>
              <w:autoSpaceDN w:val="0"/>
              <w:adjustRightInd w:val="0"/>
              <w:spacing w:line="560" w:lineRule="exact"/>
              <w:jc w:val="center"/>
              <w:rPr>
                <w:rFonts w:ascii="仿宋_GB2312" w:hAnsi="华文仿宋" w:eastAsia="仿宋_GB2312" w:cs="仿宋"/>
                <w:sz w:val="28"/>
                <w:szCs w:val="28"/>
                <w:lang w:val="zh-CN"/>
              </w:rPr>
            </w:pPr>
            <w:r>
              <w:rPr>
                <w:rFonts w:hint="eastAsia" w:ascii="仿宋_GB2312" w:hAnsi="华文仿宋" w:eastAsia="仿宋_GB2312" w:cs="仿宋"/>
                <w:sz w:val="28"/>
                <w:szCs w:val="28"/>
                <w:lang w:val="zh-CN"/>
              </w:rPr>
              <w:t>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96" w:type="dxa"/>
            <w:gridSpan w:val="2"/>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主创人员</w:t>
            </w:r>
          </w:p>
        </w:tc>
        <w:tc>
          <w:tcPr>
            <w:tcW w:w="2978" w:type="dxa"/>
            <w:vAlign w:val="center"/>
          </w:tcPr>
          <w:p>
            <w:pPr>
              <w:widowControl w:val="0"/>
              <w:autoSpaceDE w:val="0"/>
              <w:autoSpaceDN w:val="0"/>
              <w:adjustRightInd w:val="0"/>
              <w:spacing w:line="240" w:lineRule="auto"/>
              <w:jc w:val="both"/>
              <w:rPr>
                <w:rFonts w:ascii="仿宋_GB2312" w:hAnsi="华文仿宋" w:eastAsia="仿宋_GB2312" w:cs="仿宋"/>
                <w:sz w:val="13"/>
                <w:szCs w:val="13"/>
                <w:lang w:val="zh-CN"/>
              </w:rPr>
            </w:pPr>
            <w:r>
              <w:rPr>
                <w:rFonts w:hint="eastAsia" w:ascii="仿宋" w:hAnsi="仿宋" w:eastAsia="仿宋" w:cs="仿宋"/>
                <w:sz w:val="18"/>
                <w:szCs w:val="18"/>
              </w:rPr>
              <w:t>李飞、王焕平、杨建文、屠少萌、盖峰、杨梦娇</w:t>
            </w:r>
          </w:p>
        </w:tc>
        <w:tc>
          <w:tcPr>
            <w:tcW w:w="1560" w:type="dxa"/>
            <w:vAlign w:val="center"/>
          </w:tcPr>
          <w:p>
            <w:pPr>
              <w:widowControl w:val="0"/>
              <w:ind w:left="560" w:hanging="560" w:hangingChars="200"/>
              <w:jc w:val="center"/>
              <w:rPr>
                <w:rFonts w:ascii="华文中宋" w:hAnsi="华文中宋" w:eastAsia="华文中宋"/>
                <w:sz w:val="28"/>
                <w:szCs w:val="28"/>
              </w:rPr>
            </w:pPr>
            <w:r>
              <w:rPr>
                <w:rFonts w:hint="eastAsia" w:ascii="华文中宋" w:hAnsi="华文中宋" w:eastAsia="华文中宋"/>
                <w:sz w:val="28"/>
                <w:szCs w:val="28"/>
              </w:rPr>
              <w:t>编辑</w:t>
            </w:r>
          </w:p>
        </w:tc>
        <w:tc>
          <w:tcPr>
            <w:tcW w:w="3821" w:type="dxa"/>
            <w:vAlign w:val="center"/>
          </w:tcPr>
          <w:p>
            <w:pPr>
              <w:widowControl w:val="0"/>
              <w:autoSpaceDE w:val="0"/>
              <w:autoSpaceDN w:val="0"/>
              <w:adjustRightInd w:val="0"/>
              <w:spacing w:line="240" w:lineRule="auto"/>
              <w:jc w:val="left"/>
              <w:rPr>
                <w:rFonts w:ascii="仿宋_GB2312" w:hAnsi="华文仿宋" w:eastAsia="仿宋_GB2312" w:cs="仿宋"/>
                <w:sz w:val="28"/>
                <w:szCs w:val="28"/>
                <w:lang w:val="zh-CN"/>
              </w:rPr>
            </w:pPr>
            <w:r>
              <w:rPr>
                <w:rFonts w:hint="eastAsia" w:ascii="仿宋" w:hAnsi="仿宋" w:eastAsia="仿宋" w:cs="仿宋"/>
                <w:sz w:val="18"/>
                <w:szCs w:val="18"/>
              </w:rPr>
              <w:t>李飞、王焕平、杨建文、屠少萌、盖峰、杨梦娇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exact"/>
          <w:jc w:val="center"/>
        </w:trPr>
        <w:tc>
          <w:tcPr>
            <w:tcW w:w="1072" w:type="dxa"/>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firstLine="420"/>
              <w:rPr>
                <w:rFonts w:ascii="仿宋" w:hAnsi="仿宋" w:eastAsia="仿宋"/>
                <w:szCs w:val="21"/>
              </w:rPr>
            </w:pPr>
          </w:p>
          <w:p>
            <w:pPr>
              <w:widowControl w:val="0"/>
              <w:ind w:firstLine="420"/>
              <w:rPr>
                <w:rFonts w:ascii="仿宋" w:hAnsi="仿宋" w:eastAsia="仿宋"/>
                <w:szCs w:val="21"/>
              </w:rPr>
            </w:pPr>
            <w:r>
              <w:rPr>
                <w:rFonts w:hint="eastAsia" w:ascii="仿宋" w:hAnsi="仿宋" w:eastAsia="仿宋" w:cs="仿宋"/>
              </w:rPr>
              <w:t>人民法院报“司法新观察”栏目创立十余年来，一直牢牢把握正确的舆论导向，紧扣司法实践中关于司法理念、司法体制改革、队伍建设、智慧法院建设等问题，从宏观、中观以及微观的角度阐发观点，论述问题，启发实践，同时对司法实践中具有重大社会影响的案件如于欢案、呼格案等的最终判决发表观点、引导舆论，具有较高的理论水平和较强的舆论引导力。</w:t>
            </w:r>
          </w:p>
          <w:p>
            <w:pPr>
              <w:widowControl w:val="0"/>
              <w:ind w:firstLine="420"/>
              <w:rPr>
                <w:rFonts w:ascii="仿宋" w:hAnsi="仿宋" w:eastAsia="仿宋"/>
                <w:szCs w:val="21"/>
              </w:rPr>
            </w:pPr>
          </w:p>
          <w:p>
            <w:pPr>
              <w:widowControl w:val="0"/>
              <w:ind w:firstLine="398" w:firstLineChars="200"/>
              <w:rPr>
                <w:rFonts w:ascii="仿宋" w:hAnsi="仿宋" w:eastAsia="仿宋"/>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exac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783" w:type="dxa"/>
            <w:gridSpan w:val="4"/>
          </w:tcPr>
          <w:p>
            <w:pPr>
              <w:widowControl w:val="0"/>
              <w:ind w:firstLine="420"/>
              <w:rPr>
                <w:rFonts w:ascii="仿宋" w:hAnsi="仿宋" w:eastAsia="仿宋"/>
                <w:szCs w:val="21"/>
              </w:rPr>
            </w:pPr>
          </w:p>
          <w:p>
            <w:pPr>
              <w:widowControl w:val="0"/>
              <w:ind w:firstLine="420" w:firstLineChars="200"/>
              <w:rPr>
                <w:rFonts w:ascii="仿宋" w:hAnsi="仿宋" w:eastAsia="仿宋"/>
                <w:szCs w:val="21"/>
              </w:rPr>
            </w:pPr>
            <w:r>
              <w:rPr>
                <w:rFonts w:hint="eastAsia" w:ascii="仿宋" w:hAnsi="仿宋" w:eastAsia="仿宋" w:cs="仿宋"/>
              </w:rPr>
              <w:t>该栏目作品刊发后，常常被澎湃新闻、知乎、网易、搜狐、中国法院网等网站转载，诸多作品在“人民法院报”公微上转发后，收到了较高的阅读量和读者点赞。有的文章成为推动司法实践创新、推动立法改变的重要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1072" w:type="dxa"/>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783" w:type="dxa"/>
            <w:gridSpan w:val="4"/>
          </w:tcPr>
          <w:p>
            <w:pPr>
              <w:widowControl w:val="0"/>
              <w:ind w:firstLine="420"/>
              <w:jc w:val="both"/>
              <w:rPr>
                <w:rFonts w:ascii="仿宋" w:hAnsi="仿宋" w:eastAsia="仿宋"/>
                <w:szCs w:val="21"/>
              </w:rPr>
            </w:pPr>
          </w:p>
          <w:p>
            <w:pPr>
              <w:widowControl w:val="0"/>
              <w:jc w:val="both"/>
              <w:rPr>
                <w:rFonts w:ascii="华文中宋" w:hAnsi="华文中宋" w:eastAsia="华文中宋"/>
                <w:spacing w:val="-2"/>
                <w:sz w:val="28"/>
                <w:szCs w:val="20"/>
              </w:rPr>
            </w:pPr>
            <w:r>
              <w:rPr>
                <w:rFonts w:hint="eastAsia" w:ascii="仿宋" w:hAnsi="仿宋" w:eastAsia="仿宋"/>
                <w:szCs w:val="21"/>
              </w:rPr>
              <w:t>人民法院报新闻评论版“司法新观察”栏目创立十余年来，坚持每周有新策划、每文有新观点、每观点对人有新启发，刊发文章3000余篇，成为推动法治进步、社会发展的舆论力量，成为法治领域具有极大影响力的评论品牌，十余年来，主创编辑人员的孜孜以求、默默坚守是对法治中国建设、公平正义推进的涓涓助力，其付出与作品收获了千万读者的最大敬意。同意推荐此栏目参评中国新闻奖。</w:t>
            </w:r>
            <w:r>
              <w:rPr>
                <w:rFonts w:hint="eastAsia" w:ascii="仿宋" w:hAnsi="仿宋" w:eastAsia="仿宋"/>
                <w:szCs w:val="21"/>
                <w:lang w:val="en-US" w:eastAsia="zh-CN"/>
              </w:rPr>
              <w:t xml:space="preserve">                               </w:t>
            </w:r>
            <w:r>
              <w:rPr>
                <w:rFonts w:hint="eastAsia" w:ascii="华文中宋" w:hAnsi="华文中宋" w:eastAsia="华文中宋"/>
                <w:spacing w:val="-2"/>
                <w:sz w:val="28"/>
              </w:rPr>
              <w:t>签名：</w:t>
            </w:r>
          </w:p>
          <w:p>
            <w:pPr>
              <w:widowControl w:val="0"/>
              <w:spacing w:line="360" w:lineRule="exact"/>
              <w:ind w:firstLine="5460" w:firstLineChars="1950"/>
              <w:rPr>
                <w:rFonts w:ascii="华文中宋" w:hAnsi="华文中宋" w:eastAsia="华文中宋"/>
                <w:sz w:val="28"/>
              </w:rPr>
            </w:pPr>
            <w:r>
              <w:rPr>
                <w:rFonts w:hint="eastAsia" w:ascii="华文中宋" w:hAnsi="华文中宋" w:eastAsia="华文中宋"/>
                <w:sz w:val="28"/>
              </w:rPr>
              <w:t>（盖单位公章）</w:t>
            </w:r>
          </w:p>
          <w:p>
            <w:pPr>
              <w:widowControl w:val="0"/>
              <w:ind w:firstLine="5320" w:firstLineChars="1900"/>
              <w:rPr>
                <w:rFonts w:ascii="仿宋" w:hAnsi="仿宋" w:eastAsia="仿宋"/>
                <w:szCs w:val="21"/>
              </w:rPr>
            </w:pPr>
            <w:r>
              <w:rPr>
                <w:rFonts w:hint="eastAsia" w:ascii="华文中宋" w:hAnsi="华文中宋" w:eastAsia="华文中宋"/>
                <w:sz w:val="28"/>
              </w:rPr>
              <w:t xml:space="preserve">2024年 </w:t>
            </w:r>
            <w:r>
              <w:rPr>
                <w:rFonts w:hint="eastAsia" w:ascii="华文中宋" w:hAnsi="华文中宋" w:eastAsia="华文中宋"/>
                <w:sz w:val="28"/>
                <w:lang w:val="en-US" w:eastAsia="zh-CN"/>
              </w:rPr>
              <w:t>4</w:t>
            </w:r>
            <w:r>
              <w:rPr>
                <w:rFonts w:hint="eastAsia" w:ascii="华文中宋" w:hAnsi="华文中宋" w:eastAsia="华文中宋"/>
                <w:sz w:val="28"/>
              </w:rPr>
              <w:t xml:space="preserve"> 月 </w:t>
            </w:r>
            <w:r>
              <w:rPr>
                <w:rFonts w:hint="eastAsia" w:ascii="华文中宋" w:hAnsi="华文中宋" w:eastAsia="华文中宋"/>
                <w:sz w:val="28"/>
                <w:lang w:val="en-US" w:eastAsia="zh-CN"/>
              </w:rPr>
              <w:t>11</w:t>
            </w:r>
            <w:r>
              <w:rPr>
                <w:rFonts w:hint="eastAsia" w:ascii="华文中宋" w:hAnsi="华文中宋" w:eastAsia="华文中宋"/>
                <w:sz w:val="28"/>
              </w:rPr>
              <w:t xml:space="preserve"> 日</w:t>
            </w:r>
          </w:p>
        </w:tc>
      </w:tr>
    </w:tbl>
    <w:p>
      <w:pPr>
        <w:widowControl w:val="0"/>
        <w:autoSpaceDE w:val="0"/>
        <w:autoSpaceDN w:val="0"/>
        <w:adjustRightInd w:val="0"/>
        <w:spacing w:line="420" w:lineRule="exact"/>
        <w:jc w:val="both"/>
        <w:rPr>
          <w:rFonts w:ascii="楷体" w:hAnsi="楷体" w:eastAsia="楷体"/>
          <w:b/>
          <w:bCs/>
          <w:sz w:val="28"/>
          <w:szCs w:val="28"/>
        </w:rPr>
      </w:pPr>
      <w:r>
        <w:rPr>
          <w:rFonts w:ascii="楷体" w:hAnsi="楷体" w:eastAsia="楷体"/>
          <w:sz w:val="24"/>
          <w:szCs w:val="24"/>
        </w:rPr>
        <w:br w:type="page"/>
      </w:r>
      <w:r>
        <w:rPr>
          <w:rFonts w:hint="eastAsia" w:ascii="楷体" w:hAnsi="楷体" w:eastAsia="楷体"/>
          <w:b/>
          <w:bCs/>
          <w:sz w:val="28"/>
          <w:szCs w:val="28"/>
        </w:rPr>
        <w:t xml:space="preserve">附件4 </w:t>
      </w:r>
    </w:p>
    <w:p>
      <w:pPr>
        <w:widowControl w:val="0"/>
        <w:autoSpaceDE w:val="0"/>
        <w:autoSpaceDN w:val="0"/>
        <w:adjustRightInd w:val="0"/>
        <w:spacing w:line="420" w:lineRule="exact"/>
        <w:jc w:val="both"/>
        <w:rPr>
          <w:rFonts w:ascii="楷体" w:hAnsi="楷体" w:eastAsia="楷体"/>
          <w:b/>
          <w:bCs/>
          <w:sz w:val="28"/>
          <w:szCs w:val="28"/>
        </w:rPr>
      </w:pP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w:t>
      </w:r>
    </w:p>
    <w:tbl>
      <w:tblPr>
        <w:tblStyle w:val="4"/>
        <w:tblpPr w:leftFromText="180" w:rightFromText="180" w:vertAnchor="text" w:horzAnchor="page" w:tblpX="1603" w:tblpY="165"/>
        <w:tblOverlap w:val="never"/>
        <w:tblW w:w="93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47"/>
        <w:gridCol w:w="79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347" w:type="dxa"/>
          </w:tcPr>
          <w:p>
            <w:pPr>
              <w:pStyle w:val="6"/>
              <w:spacing w:before="132"/>
              <w:ind w:left="261"/>
              <w:rPr>
                <w:rFonts w:ascii="华文中宋" w:eastAsia="华文中宋"/>
                <w:sz w:val="28"/>
              </w:rPr>
            </w:pPr>
            <w:r>
              <w:rPr>
                <w:rFonts w:hint="eastAsia" w:ascii="华文中宋" w:eastAsia="华文中宋"/>
                <w:sz w:val="28"/>
              </w:rPr>
              <w:t>作品标题</w:t>
            </w:r>
          </w:p>
        </w:tc>
        <w:tc>
          <w:tcPr>
            <w:tcW w:w="7983" w:type="dxa"/>
          </w:tcPr>
          <w:p>
            <w:pPr>
              <w:pStyle w:val="6"/>
              <w:rPr>
                <w:rFonts w:asciiTheme="minorEastAsia" w:hAnsiTheme="minorEastAsia" w:eastAsiaTheme="minorEastAsia"/>
                <w:sz w:val="30"/>
              </w:rPr>
            </w:pPr>
            <w:r>
              <w:rPr>
                <w:rFonts w:hint="eastAsia" w:asciiTheme="minorEastAsia" w:hAnsiTheme="minorEastAsia" w:eastAsiaTheme="minorEastAsia"/>
                <w:sz w:val="30"/>
              </w:rPr>
              <w:t>数智赋能让劳动争议多元化解有“智”更有“质”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347" w:type="dxa"/>
          </w:tcPr>
          <w:p>
            <w:pPr>
              <w:pStyle w:val="6"/>
              <w:spacing w:before="132"/>
              <w:ind w:left="261"/>
              <w:rPr>
                <w:rFonts w:ascii="华文中宋" w:eastAsia="华文中宋"/>
                <w:sz w:val="28"/>
              </w:rPr>
            </w:pPr>
            <w:r>
              <w:rPr>
                <w:rFonts w:hint="eastAsia" w:ascii="华文中宋" w:eastAsia="华文中宋"/>
                <w:sz w:val="28"/>
              </w:rPr>
              <w:t>发表日期</w:t>
            </w:r>
          </w:p>
        </w:tc>
        <w:tc>
          <w:tcPr>
            <w:tcW w:w="7983" w:type="dxa"/>
          </w:tcPr>
          <w:p>
            <w:pPr>
              <w:pStyle w:val="6"/>
              <w:tabs>
                <w:tab w:val="left" w:pos="1410"/>
                <w:tab w:val="left" w:pos="2250"/>
              </w:tabs>
              <w:spacing w:before="221"/>
              <w:ind w:left="10"/>
              <w:jc w:val="center"/>
              <w:rPr>
                <w:sz w:val="28"/>
              </w:rPr>
            </w:pPr>
            <w:r>
              <w:rPr>
                <w:sz w:val="28"/>
              </w:rPr>
              <w:t>202</w:t>
            </w:r>
            <w:r>
              <w:rPr>
                <w:rFonts w:hint="eastAsia"/>
                <w:sz w:val="28"/>
                <w:lang w:val="en-US"/>
              </w:rPr>
              <w:t>3</w:t>
            </w:r>
            <w:r>
              <w:rPr>
                <w:sz w:val="28"/>
              </w:rPr>
              <w:t>年</w:t>
            </w:r>
            <w:r>
              <w:rPr>
                <w:rFonts w:hint="eastAsia"/>
                <w:sz w:val="28"/>
              </w:rPr>
              <w:t>1</w:t>
            </w:r>
            <w:r>
              <w:rPr>
                <w:sz w:val="28"/>
              </w:rPr>
              <w:t>月</w:t>
            </w:r>
            <w:r>
              <w:rPr>
                <w:rFonts w:hint="eastAsia"/>
                <w:sz w:val="28"/>
              </w:rPr>
              <w:t>4</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347" w:type="dxa"/>
          </w:tcPr>
          <w:p>
            <w:pPr>
              <w:pStyle w:val="6"/>
              <w:spacing w:before="2"/>
              <w:jc w:val="center"/>
              <w:rPr>
                <w:rFonts w:ascii="华文中宋"/>
                <w:sz w:val="32"/>
              </w:rPr>
            </w:pPr>
          </w:p>
          <w:p>
            <w:pPr>
              <w:pStyle w:val="6"/>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983" w:type="dxa"/>
          </w:tcPr>
          <w:p>
            <w:pPr>
              <w:pStyle w:val="6"/>
              <w:ind w:firstLine="440" w:firstLineChars="200"/>
              <w:rPr>
                <w:rFonts w:hint="eastAsia" w:ascii="仿宋" w:hAnsi="仿宋" w:eastAsia="仿宋" w:cs="仿宋"/>
              </w:rPr>
            </w:pPr>
            <w:r>
              <w:rPr>
                <w:rFonts w:hint="eastAsia" w:ascii="仿宋" w:hAnsi="仿宋" w:eastAsia="仿宋" w:cs="仿宋"/>
              </w:rPr>
              <w:t>基层法院的干警直接面对各类民生纠纷，劳动争议是其中极为重要的一个类型。浙江法院身处数字技术发展相对先进的省份，勇于创新，积极顺应数字化改革浪潮，本文作者就来自于浙江省金华市婺城区人民法院。文章认为，传统模式在时间和机制资源利用上的不经济性，已无法满足新时代对劳动争议解决提出的要求，面对数量激增、愈加复杂的劳动争议，借助数据和智能系统建立劳动争议多元化解新模式势在必行。</w:t>
            </w:r>
          </w:p>
          <w:p>
            <w:pPr>
              <w:pStyle w:val="6"/>
              <w:ind w:firstLine="440" w:firstLineChars="200"/>
              <w:rPr>
                <w:rFonts w:hint="eastAsia" w:ascii="仿宋" w:hAnsi="仿宋" w:eastAsia="仿宋" w:cs="仿宋"/>
              </w:rPr>
            </w:pPr>
            <w:r>
              <w:rPr>
                <w:rFonts w:hint="eastAsia" w:ascii="仿宋" w:hAnsi="仿宋" w:eastAsia="仿宋" w:cs="仿宋"/>
              </w:rPr>
              <w:t>实现劳动争议的数智治理目标，文章提出首先要在司法端实现劳动争议审裁流程再造，其次要实现法院、人社局、司法局、工会等多部门协同，推动复杂案件的处置工作由“单线推进”向“多方协同”转变，最后在社会层面要实现宏观态势掌控，通过数据赋能和技术赋能，推动劳动关系纠纷化解工作由“经验决策”向“大数据决策”转变。</w:t>
            </w:r>
          </w:p>
          <w:p>
            <w:pPr>
              <w:pStyle w:val="6"/>
              <w:ind w:firstLine="440" w:firstLineChars="200"/>
              <w:rPr>
                <w:rFonts w:ascii="Times New Roman"/>
                <w:sz w:val="30"/>
              </w:rPr>
            </w:pPr>
            <w:r>
              <w:rPr>
                <w:rFonts w:hint="eastAsia" w:ascii="仿宋" w:hAnsi="仿宋" w:eastAsia="仿宋" w:cs="仿宋"/>
              </w:rPr>
              <w:t>本文根据当地司法实践和作者自身工作经验，抓住“劳动纠纷”和“数字技术”两个关键词，立足解决实践难题、提升司法工作质效，论证有理有据，提出的举措可供学习借鉴。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347" w:type="dxa"/>
          </w:tcPr>
          <w:p>
            <w:pPr>
              <w:pStyle w:val="6"/>
              <w:spacing w:before="15"/>
              <w:jc w:val="center"/>
              <w:rPr>
                <w:rFonts w:ascii="华文中宋"/>
                <w:sz w:val="31"/>
              </w:rPr>
            </w:pPr>
          </w:p>
          <w:p>
            <w:pPr>
              <w:pStyle w:val="6"/>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983" w:type="dxa"/>
          </w:tcPr>
          <w:p>
            <w:pPr>
              <w:pStyle w:val="6"/>
              <w:ind w:firstLine="440" w:firstLineChars="200"/>
              <w:rPr>
                <w:rFonts w:hint="eastAsia" w:ascii="仿宋" w:hAnsi="仿宋" w:eastAsia="仿宋" w:cs="仿宋"/>
              </w:rPr>
            </w:pPr>
            <w:r>
              <w:rPr>
                <w:rFonts w:hint="eastAsia" w:ascii="仿宋" w:hAnsi="仿宋" w:eastAsia="仿宋" w:cs="仿宋"/>
              </w:rPr>
              <w:t>选取并确定采用此稿原因有三：一是话题内容贴近司法审判工作一线和百姓民生；二是文章整体并非大而论道、泛泛而谈，而是立足实处分析、解决问题；三是语言文字流畅，逻辑论证合理。</w:t>
            </w:r>
          </w:p>
          <w:p>
            <w:pPr>
              <w:pStyle w:val="6"/>
              <w:ind w:firstLine="440" w:firstLineChars="200"/>
              <w:rPr>
                <w:rFonts w:ascii="Times New Roman"/>
                <w:sz w:val="30"/>
              </w:rPr>
            </w:pPr>
            <w:r>
              <w:rPr>
                <w:rFonts w:hint="eastAsia" w:ascii="仿宋" w:hAnsi="仿宋" w:eastAsia="仿宋" w:cs="仿宋"/>
              </w:rPr>
              <w:t>但对于编辑来说，原稿就像是一块璞玉，多多少少都会存在一定的问题需要“加工打磨”。本文最突出的问题就是原文共分为三个部分，各部分内容之间衔接僵硬，缺乏过渡语句，一板一眼，充满了“割裂感”。因此，作为编辑，我的主要任务就是要在段落之间适当删改，最终将各部分内容融合贯通，使读者阅读起来感觉通畅自然，有所收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9" w:hRule="atLeast"/>
        </w:trPr>
        <w:tc>
          <w:tcPr>
            <w:tcW w:w="1347" w:type="dxa"/>
          </w:tcPr>
          <w:p>
            <w:pPr>
              <w:pStyle w:val="6"/>
              <w:jc w:val="center"/>
              <w:rPr>
                <w:rFonts w:ascii="华文中宋"/>
                <w:sz w:val="32"/>
              </w:rPr>
            </w:pPr>
          </w:p>
          <w:p>
            <w:pPr>
              <w:pStyle w:val="6"/>
              <w:spacing w:line="216" w:lineRule="auto"/>
              <w:ind w:left="345" w:right="331"/>
              <w:jc w:val="center"/>
              <w:rPr>
                <w:rFonts w:ascii="华文中宋" w:eastAsia="华文中宋"/>
                <w:sz w:val="28"/>
              </w:rPr>
            </w:pPr>
            <w:r>
              <w:rPr>
                <w:rFonts w:hint="eastAsia" w:ascii="华文中宋" w:eastAsia="华文中宋"/>
                <w:sz w:val="28"/>
              </w:rPr>
              <w:t>社会</w:t>
            </w:r>
          </w:p>
          <w:p>
            <w:pPr>
              <w:pStyle w:val="6"/>
              <w:spacing w:line="216" w:lineRule="auto"/>
              <w:ind w:left="345" w:right="331"/>
              <w:jc w:val="center"/>
              <w:rPr>
                <w:rFonts w:ascii="华文中宋" w:eastAsia="华文中宋"/>
                <w:sz w:val="28"/>
              </w:rPr>
            </w:pPr>
            <w:r>
              <w:rPr>
                <w:rFonts w:hint="eastAsia" w:ascii="华文中宋" w:eastAsia="华文中宋"/>
                <w:sz w:val="28"/>
              </w:rPr>
              <w:t>效果</w:t>
            </w:r>
          </w:p>
        </w:tc>
        <w:tc>
          <w:tcPr>
            <w:tcW w:w="7983" w:type="dxa"/>
          </w:tcPr>
          <w:p>
            <w:pPr>
              <w:pStyle w:val="6"/>
              <w:ind w:firstLine="440" w:firstLineChars="200"/>
              <w:rPr>
                <w:rFonts w:asciiTheme="minorEastAsia" w:hAnsiTheme="minorEastAsia" w:eastAsiaTheme="minorEastAsia"/>
                <w:sz w:val="30"/>
              </w:rPr>
            </w:pPr>
            <w:r>
              <w:rPr>
                <w:rFonts w:hint="eastAsia" w:ascii="仿宋" w:hAnsi="仿宋" w:eastAsia="仿宋" w:cs="仿宋"/>
              </w:rPr>
              <w:t>文章刊发后，受到了广大读者的关注和认可，有某地法院干警专门电话联系我们，表示本文谈论的内容值得他们学习借鉴，给他们开展相关工作提供了新思路。</w:t>
            </w:r>
          </w:p>
        </w:tc>
      </w:tr>
    </w:tbl>
    <w:p>
      <w:pPr>
        <w:widowControl w:val="0"/>
        <w:autoSpaceDE w:val="0"/>
        <w:autoSpaceDN w:val="0"/>
        <w:adjustRightInd w:val="0"/>
        <w:spacing w:line="200" w:lineRule="exact"/>
        <w:jc w:val="both"/>
        <w:rPr>
          <w:rFonts w:ascii="仿宋_GB2312" w:hAnsi="仿宋" w:eastAsia="仿宋_GB2312" w:cs="华文中宋"/>
          <w:sz w:val="24"/>
          <w:szCs w:val="24"/>
        </w:rPr>
      </w:pPr>
    </w:p>
    <w:p>
      <w:pPr>
        <w:widowControl w:val="0"/>
        <w:autoSpaceDE w:val="0"/>
        <w:autoSpaceDN w:val="0"/>
        <w:adjustRightInd w:val="0"/>
        <w:spacing w:line="200" w:lineRule="exact"/>
        <w:jc w:val="both"/>
        <w:rPr>
          <w:rFonts w:ascii="仿宋_GB2312" w:hAnsi="仿宋" w:eastAsia="仿宋_GB2312" w:cs="华文中宋"/>
          <w:sz w:val="24"/>
          <w:szCs w:val="24"/>
        </w:rPr>
      </w:pPr>
    </w:p>
    <w:p>
      <w:pPr>
        <w:widowControl w:val="0"/>
        <w:autoSpaceDE w:val="0"/>
        <w:autoSpaceDN w:val="0"/>
        <w:adjustRightInd w:val="0"/>
        <w:spacing w:line="200" w:lineRule="exact"/>
        <w:jc w:val="both"/>
        <w:rPr>
          <w:rFonts w:ascii="仿宋_GB2312" w:hAnsi="仿宋" w:eastAsia="仿宋_GB2312" w:cs="华文中宋"/>
          <w:sz w:val="24"/>
          <w:szCs w:val="24"/>
        </w:rPr>
      </w:pP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5000" w:type="pct"/>
            <w:shd w:val="clear" w:color="auto" w:fill="FFFFFF"/>
            <w:vAlign w:val="center"/>
          </w:tcPr>
          <w:tbl>
            <w:tblPr>
              <w:tblStyle w:val="4"/>
              <w:tblW w:w="5000" w:type="pct"/>
              <w:tblCellSpacing w:w="0" w:type="dxa"/>
              <w:tblInd w:w="0" w:type="dxa"/>
              <w:tblLayout w:type="autofit"/>
              <w:tblCellMar>
                <w:top w:w="75" w:type="dxa"/>
                <w:left w:w="75" w:type="dxa"/>
                <w:bottom w:w="75" w:type="dxa"/>
                <w:right w:w="75" w:type="dxa"/>
              </w:tblCellMar>
            </w:tblPr>
            <w:tblGrid>
              <w:gridCol w:w="8306"/>
            </w:tblGrid>
            <w:tr>
              <w:trPr>
                <w:tblCellSpacing w:w="0" w:type="dxa"/>
              </w:trPr>
              <w:tc>
                <w:tcPr>
                  <w:tcW w:w="0" w:type="auto"/>
                </w:tcPr>
                <w:p>
                  <w:pPr>
                    <w:widowControl/>
                    <w:spacing w:line="413" w:lineRule="atLeast"/>
                    <w:jc w:val="center"/>
                    <w:rPr>
                      <w:rFonts w:hint="eastAsia" w:ascii="����" w:hAnsi="����" w:eastAsia="宋体" w:cs="宋体"/>
                      <w:b/>
                      <w:bCs/>
                      <w:color w:val="000000"/>
                      <w:kern w:val="0"/>
                      <w:sz w:val="32"/>
                      <w:szCs w:val="32"/>
                    </w:rPr>
                  </w:pPr>
                  <w:r>
                    <w:rPr>
                      <w:rFonts w:ascii="����" w:hAnsi="����" w:eastAsia="宋体" w:cs="宋体"/>
                      <w:b/>
                      <w:bCs/>
                      <w:color w:val="000000"/>
                      <w:kern w:val="0"/>
                      <w:sz w:val="32"/>
                      <w:szCs w:val="32"/>
                    </w:rPr>
                    <w:t>数智赋能让劳动争议多元化解有“智”更有“质”</w:t>
                  </w:r>
                </w:p>
              </w:tc>
            </w:tr>
            <w:tr>
              <w:tblPrEx>
                <w:tblCellMar>
                  <w:top w:w="75" w:type="dxa"/>
                  <w:left w:w="75" w:type="dxa"/>
                  <w:bottom w:w="75" w:type="dxa"/>
                  <w:right w:w="75" w:type="dxa"/>
                </w:tblCellMar>
              </w:tblPrEx>
              <w:trPr>
                <w:tblCellSpacing w:w="0" w:type="dxa"/>
              </w:trPr>
              <w:tc>
                <w:tcPr>
                  <w:tcW w:w="0" w:type="auto"/>
                </w:tcPr>
                <w:p>
                  <w:pPr>
                    <w:widowControl/>
                    <w:spacing w:line="281" w:lineRule="atLeast"/>
                    <w:jc w:val="center"/>
                    <w:rPr>
                      <w:rFonts w:hint="eastAsia" w:ascii="����" w:hAnsi="����" w:eastAsia="宋体" w:cs="宋体"/>
                      <w:color w:val="797873"/>
                      <w:kern w:val="0"/>
                      <w:sz w:val="18"/>
                      <w:szCs w:val="18"/>
                    </w:rPr>
                  </w:pPr>
                  <w:r>
                    <w:rPr>
                      <w:rFonts w:ascii="����" w:hAnsi="����" w:eastAsia="宋体" w:cs="宋体"/>
                      <w:color w:val="797873"/>
                      <w:kern w:val="0"/>
                      <w:sz w:val="18"/>
                      <w:szCs w:val="18"/>
                    </w:rPr>
                    <w:t>胡 曼 胡卅丰</w:t>
                  </w:r>
                </w:p>
                <w:p>
                  <w:pPr>
                    <w:widowControl/>
                    <w:spacing w:line="281" w:lineRule="atLeast"/>
                    <w:jc w:val="center"/>
                    <w:rPr>
                      <w:rFonts w:hint="eastAsia" w:ascii="����" w:hAnsi="����" w:eastAsia="宋体" w:cs="宋体"/>
                      <w:color w:val="797873"/>
                      <w:kern w:val="0"/>
                      <w:sz w:val="18"/>
                      <w:szCs w:val="18"/>
                    </w:rPr>
                  </w:pPr>
                </w:p>
              </w:tc>
            </w:tr>
          </w:tbl>
          <w:p>
            <w:pPr>
              <w:widowControl/>
              <w:spacing w:before="125" w:after="125" w:line="271" w:lineRule="atLeast"/>
              <w:jc w:val="left"/>
              <w:rPr>
                <w:rFonts w:hint="eastAsia" w:ascii="����" w:hAnsi="����" w:eastAsia="宋体" w:cs="宋体"/>
                <w:color w:val="000000"/>
                <w:kern w:val="0"/>
                <w:sz w:val="15"/>
                <w:szCs w:val="15"/>
              </w:rPr>
            </w:pPr>
          </w:p>
        </w:tc>
      </w:tr>
      <w:tr>
        <w:tblPrEx>
          <w:shd w:val="clear" w:color="auto" w:fill="FFFFFF"/>
          <w:tblCellMar>
            <w:top w:w="0" w:type="dxa"/>
            <w:left w:w="0" w:type="dxa"/>
            <w:bottom w:w="0" w:type="dxa"/>
            <w:right w:w="0" w:type="dxa"/>
          </w:tblCellMar>
        </w:tblPrEx>
        <w:trPr>
          <w:tblCellSpacing w:w="0" w:type="dxa"/>
        </w:trPr>
        <w:tc>
          <w:tcPr>
            <w:tcW w:w="5000" w:type="pct"/>
            <w:shd w:val="clear" w:color="auto" w:fill="FFFFFF"/>
            <w:tcMar>
              <w:top w:w="63" w:type="dxa"/>
              <w:left w:w="63" w:type="dxa"/>
              <w:bottom w:w="63" w:type="dxa"/>
              <w:right w:w="63" w:type="dxa"/>
            </w:tcMar>
            <w:vAlign w:val="center"/>
          </w:tcPr>
          <w:p>
            <w:pPr>
              <w:widowControl/>
              <w:spacing w:before="100" w:beforeAutospacing="1" w:after="100" w:afterAutospacing="1" w:line="271" w:lineRule="atLeast"/>
              <w:ind w:firstLine="225"/>
              <w:jc w:val="left"/>
              <w:rPr>
                <w:rFonts w:hint="eastAsia" w:ascii="����" w:hAnsi="����" w:eastAsia="宋体" w:cs="宋体"/>
                <w:color w:val="000000"/>
                <w:kern w:val="0"/>
                <w:sz w:val="28"/>
                <w:szCs w:val="28"/>
              </w:rPr>
            </w:pPr>
            <w:r>
              <w:rPr>
                <w:rFonts w:ascii="����" w:hAnsi="����" w:eastAsia="宋体" w:cs="宋体"/>
                <w:color w:val="000000"/>
                <w:kern w:val="0"/>
                <w:sz w:val="28"/>
                <w:szCs w:val="28"/>
              </w:rPr>
              <w:t>    </w:t>
            </w:r>
            <w:r>
              <w:rPr>
                <w:rFonts w:ascii="����" w:hAnsi="����" w:eastAsia="宋体" w:cs="宋体"/>
                <w:b/>
                <w:color w:val="000000"/>
                <w:kern w:val="0"/>
                <w:sz w:val="28"/>
                <w:szCs w:val="28"/>
              </w:rPr>
              <w:t>传统模式在时间和机制资源利用上的不经济性，已无法满足新时代对劳动争议解决提出的要求。面对数量激增、愈加复杂的劳动争议，借助数据和智能系统建立劳动争议多元化解新模式势在必行。</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 w:hAnsi="����" w:eastAsia="宋体" w:cs="宋体"/>
                <w:color w:val="000000"/>
                <w:kern w:val="0"/>
                <w:sz w:val="28"/>
                <w:szCs w:val="28"/>
              </w:rPr>
              <w:t xml:space="preserve">  </w:t>
            </w:r>
            <w:r>
              <w:rPr>
                <w:rFonts w:hint="eastAsia" w:ascii="宋体" w:hAnsi="宋体" w:eastAsia="宋体" w:cs="宋体"/>
                <w:color w:val="000000"/>
                <w:kern w:val="0"/>
                <w:sz w:val="21"/>
                <w:szCs w:val="21"/>
              </w:rPr>
              <w:t>劳动争议纠纷案件关乎民生，不同于一般民事纠纷，它兼具当事人平等协商和国家干预双重特点，在调处时偏重保护弱者权益，强调社会公益，一旦处理失当便可能演变为复杂的社会问题。在疫情背景下，劳动争议案件数量呈逐年上升趋势，然而现阶段劳动争议的治理化解存在部门多、数据杂、费人工、有偏差等诸多问题。信息碎片化、部门协同不足、缺少分析研判导致了劳动争议调处面临流程冗杂、资源浪费、效率不高的尴尬局面。顺应数字化改革浪潮，建立劳动争议多元化解新模式势在必行。</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近年来劳动争议案件数量快速增长，案件类型日益复杂，当事人诉求多样化、复合化趋势不断增强。新业态下用工主体多元、用工方式多样，劳动关系的内涵和外延发生变化、劳动关系认定难度增加，对现有劳动关系的认定标准及劳资双方的利益协调机制产生冲击。劳资双方间矛盾较为突出，对裁审机构的调处能力也提出更高要求。</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传统模式在时间和机制资源利用上的不经济性，已无法满足新时代对劳动争议解决提出的要求。</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长期以来仲裁与诉讼缺乏协同办案系统，仲裁与判决存在数字断点，裁审衔接工作的信息化、智能化水平不够。如仲裁阶段掌握的当事人信息、确认的送达地址、庭审（调解）笔录、仲裁调解书和裁决书等，审判阶段需要线下对接调取，而仲裁后的立审执流程信息，劳动仲裁机构又无法实时掌握。</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而传统单线程模式难以应对劳动争议高发态势。不服劳动仲裁裁决诉至法院、调解不成进入审判程序的案件愈来愈多。法院、仲裁、司法调解分属不同系统，三方衔接不畅，各自的内部指导性文件、业务培训平台均有区别，可能导致对同一类案件的认识不一致。程序重复繁琐，增加了当事人的时间及经济负担，造成了大量资源浪费。</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同时，由于缺少宏观层面大数据的支撑，缺少对全区域劳动纠纷相关态势的了解和把控，劳动争议纠纷治理化解只能“四处救火”，很难做到提前介入、精准治理，无法实现源头预警、避免矛盾升级。</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要实现劳动争议的数智治理，我们首先要在司法端实现劳动争议审裁流程再造。使原先周期长、程序重复的“一裁两审”劳动争议处理机制更加合理，建立起法院与仲裁机构的常态化沟通机制，逐步规范裁审程序衔接，统一裁审法律适用标准，协同提升劳动争议案件处理质效，从源头上减少劳动争议案件流入法院的数量，充分发挥仲裁“过滤”劳动争议案件效能。其次要实现法院、人社局、司法局、工会等多部门协同，推动复杂案件的处置工作由“单线推进”向“多方协同”转变，互相通报案件情况、共同研究分析形势，更新优化衔接载体，统一劳动争议调处理念、思路和标准，形成各方力量协同共治劳动关系的良好格局。</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而在社会层面，我们要实现宏观态势掌控，推动劳动争议化解工作由“局部监督”向“全局统筹”转变；通过“云数据”对影响劳动关系的全要素进行实时监测、统计分析、深度研判、提前预警，实现“观、管、防”有机统一。通过数据赋能和技术赋能，推动劳动关系纠纷化解工作由“经验决策”向“大数据决策”转变。</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在掌握劳动纠纷“云数据”后，我们要精准梳理事项，形成劳动争议“问诊手册”。通过数据的归集和分析，紧扣劳动者和用人单位高频需求事项，聚焦劳动争议案件传统审裁模式痛点，围绕纠纷调处所需要的基本要素事实，涵盖各类型劳动争议纠纷的处置意见，形成广泛适用的“问诊手册”，并通过大数据赋能持续完善手册内容。在用户端，“问诊手册”向劳动争议当事人双方采集劳动合同订立、社保缴纳、工作岗位、工资构成、离职时间、离职原因、鉴定结果等固定事实，缩小争议范围，避免当事人向多部门重复提交证据材料，并引导当事人采取合理有效的渠道解决纠纷，减少成讼率及信访率。在治理端，“问诊手册”能够令争议调处部门一键调取案件“病历”，了解纠纷基本事实，参考处置意见进行调处并录入调处经过，形成一案一档储存至云端。</w:t>
            </w:r>
          </w:p>
          <w:p>
            <w:pPr>
              <w:widowControl/>
              <w:spacing w:before="100" w:beforeAutospacing="1" w:after="100" w:afterAutospacing="1" w:line="271" w:lineRule="atLeast"/>
              <w:ind w:firstLine="225"/>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之后要优化协同关系，畅通信息流转通道。建立事件交办体系，推动法院与调委会、人社局、工会、社区网格多方信息实时共享、资源高效整合，法律文书云传互认，化解“信息不对称、流转不及时”的难题。通过各方明确，对于辖区内的劳动人事争议案件，仲裁及诉讼阶段均应适用大数据赋能“问诊手册”，一来能够统一法院系统内部及相关部门之间对劳动关系的认定标准及劳资双方的利益协调的力度与风向，二来能够弥补基层网格员、各级调解员专业能力参差不齐的问题，增加纠纷在基层化解的成功率。发挥基层调解组织源头防范的作用。</w:t>
            </w:r>
          </w:p>
          <w:p>
            <w:pPr>
              <w:widowControl/>
              <w:spacing w:before="100" w:beforeAutospacing="1" w:after="100" w:afterAutospacing="1" w:line="271" w:lineRule="atLeast"/>
              <w:ind w:firstLine="225"/>
              <w:jc w:val="left"/>
              <w:rPr>
                <w:rFonts w:hint="eastAsia" w:ascii="����" w:hAnsi="����" w:eastAsia="宋体" w:cs="宋体"/>
                <w:color w:val="000000"/>
                <w:kern w:val="0"/>
                <w:sz w:val="28"/>
                <w:szCs w:val="28"/>
              </w:rPr>
            </w:pPr>
            <w:r>
              <w:rPr>
                <w:rFonts w:hint="eastAsia" w:ascii="宋体" w:hAnsi="宋体" w:eastAsia="宋体" w:cs="宋体"/>
                <w:color w:val="000000"/>
                <w:kern w:val="0"/>
                <w:sz w:val="21"/>
                <w:szCs w:val="21"/>
              </w:rPr>
              <w:t>     除此之外，还要多维分析研判，实现劳动风险化解前置。建设“多维分析研判”应用，通过汇总统计，实现劳动争议案件分类分析、频率分析等功能；通过对大数据的归集和分析，形成典型案例库和联动处置预案库，可以对同类型案件明确职责、快速交办、跟踪推进、考核评价；实现隐患风险预警化解，通过预警信息和处置意见在各协同部门的多向流转，实现劳动关系隐患全程跟踪、全方位联动处理，确保劳动风险处置及时、防范到位。</w:t>
            </w:r>
          </w:p>
        </w:tc>
      </w:tr>
    </w:tbl>
    <w:p>
      <w:pPr>
        <w:rPr>
          <w:sz w:val="28"/>
          <w:szCs w:val="28"/>
        </w:rPr>
      </w:pPr>
    </w:p>
    <w:p>
      <w:pPr>
        <w:widowControl w:val="0"/>
        <w:autoSpaceDE w:val="0"/>
        <w:autoSpaceDN w:val="0"/>
        <w:adjustRightInd w:val="0"/>
        <w:spacing w:line="200" w:lineRule="exact"/>
        <w:jc w:val="both"/>
        <w:rPr>
          <w:rFonts w:ascii="仿宋_GB2312" w:hAnsi="仿宋" w:eastAsia="仿宋_GB2312" w:cs="华文中宋"/>
          <w:sz w:val="24"/>
          <w:szCs w:val="24"/>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hint="eastAsia" w:ascii="方正小标宋简体" w:hAnsi="华文中宋" w:eastAsia="方正小标宋简体"/>
          <w:sz w:val="40"/>
          <w:szCs w:val="32"/>
        </w:rPr>
      </w:pPr>
    </w:p>
    <w:p>
      <w:pPr>
        <w:widowControl w:val="0"/>
        <w:spacing w:line="560" w:lineRule="exact"/>
        <w:jc w:val="center"/>
        <w:rPr>
          <w:rFonts w:ascii="华文中宋" w:hAnsi="华文中宋" w:eastAsia="华文中宋"/>
          <w:sz w:val="32"/>
          <w:szCs w:val="32"/>
        </w:rPr>
      </w:pPr>
      <w:r>
        <w:rPr>
          <w:rFonts w:hint="eastAsia" w:ascii="方正小标宋简体" w:hAnsi="华文中宋" w:eastAsia="方正小标宋简体"/>
          <w:sz w:val="40"/>
          <w:szCs w:val="32"/>
        </w:rPr>
        <w:t>中国新闻奖报纸、通讯社新闻专栏代表作基本情况</w:t>
      </w:r>
    </w:p>
    <w:tbl>
      <w:tblPr>
        <w:tblStyle w:val="4"/>
        <w:tblpPr w:leftFromText="180" w:rightFromText="180" w:vertAnchor="text" w:horzAnchor="page" w:tblpX="1378" w:tblpY="14"/>
        <w:tblOverlap w:val="never"/>
        <w:tblW w:w="933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88"/>
        <w:gridCol w:w="77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6"/>
              <w:spacing w:before="132"/>
              <w:ind w:left="261"/>
              <w:rPr>
                <w:rFonts w:ascii="华文中宋" w:eastAsia="华文中宋"/>
                <w:sz w:val="28"/>
              </w:rPr>
            </w:pPr>
            <w:r>
              <w:rPr>
                <w:rFonts w:hint="eastAsia" w:ascii="华文中宋" w:eastAsia="华文中宋"/>
                <w:sz w:val="28"/>
              </w:rPr>
              <w:t>作品标题</w:t>
            </w:r>
          </w:p>
        </w:tc>
        <w:tc>
          <w:tcPr>
            <w:tcW w:w="7742" w:type="dxa"/>
          </w:tcPr>
          <w:p>
            <w:pPr>
              <w:pStyle w:val="6"/>
              <w:rPr>
                <w:rFonts w:asciiTheme="majorEastAsia" w:hAnsiTheme="majorEastAsia" w:eastAsiaTheme="majorEastAsia"/>
                <w:sz w:val="30"/>
              </w:rPr>
            </w:pPr>
            <w:r>
              <w:rPr>
                <w:rFonts w:hint="eastAsia" w:cs="宋体" w:asciiTheme="majorEastAsia" w:hAnsiTheme="majorEastAsia" w:eastAsiaTheme="majorEastAsia"/>
                <w:sz w:val="30"/>
              </w:rPr>
              <w:t>充分认识加强内部诉源治理的重大意义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4" w:hRule="atLeast"/>
        </w:trPr>
        <w:tc>
          <w:tcPr>
            <w:tcW w:w="1588" w:type="dxa"/>
          </w:tcPr>
          <w:p>
            <w:pPr>
              <w:pStyle w:val="6"/>
              <w:spacing w:before="132"/>
              <w:ind w:left="261"/>
              <w:rPr>
                <w:rFonts w:ascii="华文中宋" w:eastAsia="华文中宋"/>
                <w:sz w:val="28"/>
              </w:rPr>
            </w:pPr>
            <w:r>
              <w:rPr>
                <w:rFonts w:hint="eastAsia" w:ascii="华文中宋" w:eastAsia="华文中宋"/>
                <w:sz w:val="28"/>
              </w:rPr>
              <w:t>发表日期</w:t>
            </w:r>
          </w:p>
        </w:tc>
        <w:tc>
          <w:tcPr>
            <w:tcW w:w="7742" w:type="dxa"/>
          </w:tcPr>
          <w:p>
            <w:pPr>
              <w:pStyle w:val="6"/>
              <w:tabs>
                <w:tab w:val="left" w:pos="1410"/>
                <w:tab w:val="left" w:pos="2250"/>
              </w:tabs>
              <w:spacing w:before="221"/>
              <w:ind w:left="10"/>
              <w:jc w:val="center"/>
              <w:rPr>
                <w:sz w:val="28"/>
              </w:rPr>
            </w:pPr>
            <w:r>
              <w:rPr>
                <w:sz w:val="28"/>
              </w:rPr>
              <w:t>202</w:t>
            </w:r>
            <w:r>
              <w:rPr>
                <w:rFonts w:hint="eastAsia"/>
                <w:sz w:val="28"/>
                <w:lang w:val="en-US"/>
              </w:rPr>
              <w:t>3</w:t>
            </w:r>
            <w:r>
              <w:rPr>
                <w:sz w:val="28"/>
              </w:rPr>
              <w:t>年</w:t>
            </w:r>
            <w:r>
              <w:rPr>
                <w:rFonts w:hint="eastAsia"/>
                <w:sz w:val="28"/>
              </w:rPr>
              <w:t>8</w:t>
            </w:r>
            <w:r>
              <w:rPr>
                <w:sz w:val="28"/>
              </w:rPr>
              <w:t>月</w:t>
            </w:r>
            <w:r>
              <w:rPr>
                <w:rFonts w:hint="eastAsia"/>
                <w:sz w:val="28"/>
              </w:rPr>
              <w:t>8</w:t>
            </w:r>
            <w:r>
              <w:rPr>
                <w:sz w:val="28"/>
              </w:rPr>
              <w:t>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1588" w:type="dxa"/>
          </w:tcPr>
          <w:p>
            <w:pPr>
              <w:pStyle w:val="6"/>
              <w:spacing w:before="2"/>
              <w:jc w:val="center"/>
              <w:rPr>
                <w:rFonts w:ascii="华文中宋"/>
                <w:sz w:val="32"/>
              </w:rPr>
            </w:pPr>
          </w:p>
          <w:p>
            <w:pPr>
              <w:pStyle w:val="6"/>
              <w:spacing w:line="216" w:lineRule="auto"/>
              <w:ind w:left="345" w:right="331"/>
              <w:jc w:val="center"/>
              <w:rPr>
                <w:rFonts w:ascii="华文中宋" w:eastAsia="华文中宋"/>
                <w:sz w:val="28"/>
              </w:rPr>
            </w:pPr>
            <w:r>
              <w:rPr>
                <w:rFonts w:hint="eastAsia" w:ascii="华文中宋" w:eastAsia="华文中宋"/>
                <w:sz w:val="28"/>
              </w:rPr>
              <w:t>作品 评介</w:t>
            </w:r>
          </w:p>
        </w:tc>
        <w:tc>
          <w:tcPr>
            <w:tcW w:w="7742" w:type="dxa"/>
          </w:tcPr>
          <w:p>
            <w:pPr>
              <w:pStyle w:val="6"/>
              <w:ind w:firstLine="600" w:firstLineChars="200"/>
              <w:rPr>
                <w:rFonts w:ascii="Times New Roman"/>
                <w:sz w:val="30"/>
              </w:rPr>
            </w:pPr>
            <w:r>
              <w:rPr>
                <w:rFonts w:hint="eastAsia" w:ascii="宋体" w:hAnsi="宋体" w:eastAsia="宋体" w:cs="宋体"/>
                <w:sz w:val="30"/>
              </w:rPr>
              <w:t>此</w:t>
            </w:r>
            <w:r>
              <w:rPr>
                <w:rFonts w:ascii="宋体" w:hAnsi="宋体" w:eastAsia="宋体" w:cs="宋体"/>
                <w:sz w:val="30"/>
              </w:rPr>
              <w:t>文观点鲜明，</w:t>
            </w:r>
            <w:r>
              <w:rPr>
                <w:rFonts w:hint="eastAsia" w:ascii="宋体" w:hAnsi="宋体" w:eastAsia="宋体" w:cs="宋体"/>
                <w:sz w:val="30"/>
              </w:rPr>
              <w:t>说理</w:t>
            </w:r>
            <w:r>
              <w:rPr>
                <w:rFonts w:ascii="宋体" w:hAnsi="宋体" w:eastAsia="宋体" w:cs="宋体"/>
                <w:sz w:val="30"/>
              </w:rPr>
              <w:t>透彻，文字</w:t>
            </w:r>
            <w:r>
              <w:rPr>
                <w:rFonts w:hint="eastAsia" w:ascii="宋体" w:hAnsi="宋体" w:eastAsia="宋体" w:cs="宋体"/>
                <w:sz w:val="30"/>
              </w:rPr>
              <w:t>生动</w:t>
            </w:r>
            <w:r>
              <w:rPr>
                <w:rFonts w:ascii="宋体" w:hAnsi="宋体" w:eastAsia="宋体" w:cs="宋体"/>
                <w:sz w:val="30"/>
              </w:rPr>
              <w:t>。体现了</w:t>
            </w:r>
            <w:r>
              <w:rPr>
                <w:rFonts w:hint="eastAsia" w:ascii="宋体" w:hAnsi="宋体" w:eastAsia="宋体" w:cs="宋体"/>
                <w:sz w:val="30"/>
              </w:rPr>
              <w:t>《人民法院报》“司法新观察”专栏在法治评论方面的优势，</w:t>
            </w:r>
            <w:r>
              <w:rPr>
                <w:rFonts w:ascii="宋体" w:hAnsi="宋体" w:eastAsia="宋体" w:cs="宋体"/>
                <w:sz w:val="30"/>
              </w:rPr>
              <w:t>展现了舆论引领的独特作用</w:t>
            </w:r>
            <w:r>
              <w:rPr>
                <w:rFonts w:hint="eastAsia" w:ascii="宋体" w:hAnsi="宋体" w:eastAsia="宋体" w:cs="宋体"/>
                <w:sz w:val="30"/>
              </w:rPr>
              <w:t>。文章</w:t>
            </w:r>
            <w:r>
              <w:rPr>
                <w:rFonts w:ascii="宋体" w:hAnsi="宋体" w:eastAsia="宋体" w:cs="宋体"/>
                <w:sz w:val="30"/>
              </w:rPr>
              <w:t>在选题上紧扣</w:t>
            </w:r>
            <w:r>
              <w:rPr>
                <w:rFonts w:hint="eastAsia" w:ascii="宋体" w:hAnsi="宋体" w:eastAsia="宋体" w:cs="宋体"/>
                <w:sz w:val="30"/>
              </w:rPr>
              <w:t>人民法院内部诉源治理，即衍生诉讼案件治理，</w:t>
            </w:r>
            <w:r>
              <w:rPr>
                <w:rFonts w:ascii="宋体" w:hAnsi="宋体" w:eastAsia="宋体" w:cs="宋体"/>
                <w:sz w:val="30"/>
              </w:rPr>
              <w:t>在论述上增强针对性，在文风上注重</w:t>
            </w:r>
            <w:r>
              <w:rPr>
                <w:rFonts w:hint="eastAsia" w:ascii="宋体" w:hAnsi="宋体" w:eastAsia="宋体" w:cs="宋体"/>
                <w:sz w:val="30"/>
              </w:rPr>
              <w:t>求实</w:t>
            </w:r>
            <w:r>
              <w:rPr>
                <w:rFonts w:ascii="宋体" w:hAnsi="宋体" w:eastAsia="宋体" w:cs="宋体"/>
                <w:sz w:val="30"/>
              </w:rPr>
              <w:t>创新。</w:t>
            </w:r>
            <w:r>
              <w:rPr>
                <w:rFonts w:hint="eastAsia" w:ascii="宋体" w:hAnsi="宋体" w:eastAsia="宋体" w:cs="宋体"/>
                <w:sz w:val="30"/>
              </w:rPr>
              <w:t>具有理论文章的思辨性和法治评论的时效性。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1588" w:type="dxa"/>
          </w:tcPr>
          <w:p>
            <w:pPr>
              <w:pStyle w:val="6"/>
              <w:spacing w:before="15"/>
              <w:jc w:val="center"/>
              <w:rPr>
                <w:rFonts w:ascii="华文中宋"/>
                <w:sz w:val="31"/>
              </w:rPr>
            </w:pPr>
          </w:p>
          <w:p>
            <w:pPr>
              <w:pStyle w:val="6"/>
              <w:spacing w:line="216" w:lineRule="auto"/>
              <w:ind w:left="345" w:right="331"/>
              <w:jc w:val="center"/>
              <w:rPr>
                <w:rFonts w:ascii="华文中宋" w:eastAsia="华文中宋"/>
                <w:sz w:val="28"/>
              </w:rPr>
            </w:pPr>
            <w:r>
              <w:rPr>
                <w:rFonts w:hint="eastAsia" w:ascii="华文中宋" w:eastAsia="华文中宋"/>
                <w:sz w:val="28"/>
              </w:rPr>
              <w:t>采编 过程</w:t>
            </w:r>
          </w:p>
        </w:tc>
        <w:tc>
          <w:tcPr>
            <w:tcW w:w="7742" w:type="dxa"/>
          </w:tcPr>
          <w:p>
            <w:pPr>
              <w:pStyle w:val="6"/>
              <w:ind w:firstLine="600" w:firstLineChars="200"/>
              <w:rPr>
                <w:rFonts w:ascii="Times New Roman"/>
                <w:sz w:val="30"/>
              </w:rPr>
            </w:pPr>
            <w:r>
              <w:rPr>
                <w:rFonts w:hint="eastAsia" w:ascii="宋体" w:hAnsi="宋体" w:eastAsia="宋体" w:cs="宋体"/>
                <w:sz w:val="30"/>
              </w:rPr>
              <w:t>作者戴曙系上海市高级人民法院立案庭高级法官，上海审判业务骨干。编者与作者在约稿写作过程中，经过多次商议、沟通和修改，文章把内部诉源治理和司法实践相结合，有助于充分认识加强内部诉源治理的重大意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9" w:hRule="atLeast"/>
        </w:trPr>
        <w:tc>
          <w:tcPr>
            <w:tcW w:w="1588" w:type="dxa"/>
          </w:tcPr>
          <w:p>
            <w:pPr>
              <w:pStyle w:val="6"/>
              <w:jc w:val="center"/>
              <w:rPr>
                <w:rFonts w:ascii="华文中宋"/>
                <w:sz w:val="32"/>
              </w:rPr>
            </w:pPr>
          </w:p>
          <w:p>
            <w:pPr>
              <w:pStyle w:val="6"/>
              <w:spacing w:line="216" w:lineRule="auto"/>
              <w:ind w:left="345" w:right="331"/>
              <w:jc w:val="center"/>
              <w:rPr>
                <w:rFonts w:ascii="华文中宋" w:eastAsia="华文中宋"/>
                <w:sz w:val="28"/>
              </w:rPr>
            </w:pPr>
            <w:r>
              <w:rPr>
                <w:rFonts w:hint="eastAsia" w:ascii="华文中宋" w:eastAsia="华文中宋"/>
                <w:sz w:val="28"/>
              </w:rPr>
              <w:t>社会</w:t>
            </w:r>
          </w:p>
          <w:p>
            <w:pPr>
              <w:pStyle w:val="6"/>
              <w:spacing w:line="216" w:lineRule="auto"/>
              <w:ind w:left="345" w:right="331"/>
              <w:jc w:val="center"/>
              <w:rPr>
                <w:rFonts w:ascii="华文中宋" w:eastAsia="华文中宋"/>
                <w:sz w:val="28"/>
              </w:rPr>
            </w:pPr>
            <w:r>
              <w:rPr>
                <w:rFonts w:hint="eastAsia" w:ascii="华文中宋" w:eastAsia="华文中宋"/>
                <w:sz w:val="28"/>
              </w:rPr>
              <w:t>效果</w:t>
            </w:r>
          </w:p>
        </w:tc>
        <w:tc>
          <w:tcPr>
            <w:tcW w:w="7742" w:type="dxa"/>
          </w:tcPr>
          <w:p>
            <w:pPr>
              <w:pStyle w:val="6"/>
              <w:ind w:firstLine="600" w:firstLineChars="200"/>
              <w:rPr>
                <w:rFonts w:ascii="Times New Roman"/>
                <w:sz w:val="30"/>
              </w:rPr>
            </w:pPr>
            <w:r>
              <w:rPr>
                <w:rFonts w:hint="eastAsia" w:ascii="宋体" w:hAnsi="宋体" w:eastAsia="宋体" w:cs="宋体"/>
                <w:sz w:val="30"/>
              </w:rPr>
              <w:t>文章在引导和法律视角上形成亮点。文章关注现实、贴近时代的思想性，得到领导、同行、读者的好评，《最高人民法院》《天平阳光》《上海高院》等公众号相继转发。</w:t>
            </w:r>
          </w:p>
        </w:tc>
      </w:tr>
    </w:tbl>
    <w:p>
      <w:pPr>
        <w:widowControl w:val="0"/>
        <w:autoSpaceDE w:val="0"/>
        <w:autoSpaceDN w:val="0"/>
        <w:adjustRightInd w:val="0"/>
        <w:spacing w:line="200" w:lineRule="exact"/>
        <w:jc w:val="both"/>
        <w:rPr>
          <w:rFonts w:ascii="仿宋_GB2312" w:hAnsi="仿宋" w:eastAsia="仿宋_GB2312" w:cs="华文中宋"/>
          <w:sz w:val="24"/>
          <w:szCs w:val="24"/>
        </w:rPr>
      </w:pPr>
    </w:p>
    <w:p>
      <w:pPr>
        <w:widowControl w:val="0"/>
        <w:rPr>
          <w:rFonts w:hint="eastAsia" w:ascii="楷体" w:hAnsi="楷体" w:eastAsia="楷体"/>
          <w:sz w:val="28"/>
        </w:rPr>
      </w:pPr>
      <w:r>
        <w:rPr>
          <w:rFonts w:hint="eastAsia" w:ascii="楷体" w:hAnsi="楷体" w:eastAsia="楷体"/>
          <w:sz w:val="28"/>
        </w:rPr>
        <w:t>此表可从中国记协网www.zgjx.cn下载，上、下半年代表作前各附1张。</w:t>
      </w:r>
    </w:p>
    <w:p>
      <w:pPr>
        <w:widowControl w:val="0"/>
        <w:rPr>
          <w:rFonts w:hint="eastAsia" w:ascii="楷体" w:hAnsi="楷体" w:eastAsia="楷体"/>
          <w:sz w:val="28"/>
        </w:rPr>
      </w:pPr>
    </w:p>
    <w:p>
      <w:pPr>
        <w:widowControl w:val="0"/>
        <w:rPr>
          <w:rFonts w:hint="eastAsia" w:ascii="楷体" w:hAnsi="楷体" w:eastAsia="楷体"/>
          <w:sz w:val="28"/>
        </w:rPr>
      </w:pP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8306"/>
      </w:tblGrid>
      <w:tr>
        <w:tblPrEx>
          <w:shd w:val="clear" w:color="auto" w:fill="FFFFFF"/>
          <w:tblCellMar>
            <w:top w:w="0" w:type="dxa"/>
            <w:left w:w="0" w:type="dxa"/>
            <w:bottom w:w="0" w:type="dxa"/>
            <w:right w:w="0" w:type="dxa"/>
          </w:tblCellMar>
        </w:tblPrEx>
        <w:trPr>
          <w:tblCellSpacing w:w="0" w:type="dxa"/>
        </w:trPr>
        <w:tc>
          <w:tcPr>
            <w:tcW w:w="0" w:type="auto"/>
            <w:shd w:val="clear" w:color="auto" w:fill="FFFFFF"/>
            <w:vAlign w:val="center"/>
          </w:tcPr>
          <w:tbl>
            <w:tblPr>
              <w:tblStyle w:val="4"/>
              <w:tblW w:w="5000" w:type="pct"/>
              <w:tblCellSpacing w:w="0" w:type="dxa"/>
              <w:tblInd w:w="0" w:type="dxa"/>
              <w:tblLayout w:type="autofit"/>
              <w:tblCellMar>
                <w:top w:w="75" w:type="dxa"/>
                <w:left w:w="75" w:type="dxa"/>
                <w:bottom w:w="75" w:type="dxa"/>
                <w:right w:w="75" w:type="dxa"/>
              </w:tblCellMar>
            </w:tblPr>
            <w:tblGrid>
              <w:gridCol w:w="8306"/>
            </w:tblGrid>
            <w:tr>
              <w:trPr>
                <w:tblCellSpacing w:w="0" w:type="dxa"/>
              </w:trPr>
              <w:tc>
                <w:tcPr>
                  <w:tcW w:w="0" w:type="auto"/>
                </w:tcPr>
                <w:p>
                  <w:pPr>
                    <w:widowControl/>
                    <w:spacing w:line="413" w:lineRule="atLeast"/>
                    <w:jc w:val="center"/>
                    <w:rPr>
                      <w:rFonts w:ascii="����" w:hAnsi="����" w:eastAsia="宋体" w:cs="宋体"/>
                      <w:b/>
                      <w:bCs/>
                      <w:color w:val="000000"/>
                      <w:kern w:val="0"/>
                      <w:sz w:val="32"/>
                      <w:szCs w:val="32"/>
                    </w:rPr>
                  </w:pPr>
                  <w:r>
                    <w:rPr>
                      <w:rFonts w:ascii="����" w:hAnsi="����" w:eastAsia="宋体" w:cs="宋体"/>
                      <w:b/>
                      <w:bCs/>
                      <w:color w:val="000000"/>
                      <w:kern w:val="0"/>
                      <w:sz w:val="32"/>
                      <w:szCs w:val="32"/>
                    </w:rPr>
                    <w:t>充分认识加强内部诉源治理的重大意义</w:t>
                  </w:r>
                </w:p>
              </w:tc>
            </w:tr>
            <w:tr>
              <w:tblPrEx>
                <w:tblCellMar>
                  <w:top w:w="75" w:type="dxa"/>
                  <w:left w:w="75" w:type="dxa"/>
                  <w:bottom w:w="75" w:type="dxa"/>
                  <w:right w:w="75" w:type="dxa"/>
                </w:tblCellMar>
              </w:tblPrEx>
              <w:trPr>
                <w:tblCellSpacing w:w="0" w:type="dxa"/>
              </w:trPr>
              <w:tc>
                <w:tcPr>
                  <w:tcW w:w="0" w:type="auto"/>
                </w:tcPr>
                <w:p>
                  <w:pPr>
                    <w:widowControl/>
                    <w:spacing w:line="281" w:lineRule="atLeast"/>
                    <w:jc w:val="center"/>
                    <w:rPr>
                      <w:rFonts w:ascii="����" w:hAnsi="����" w:eastAsia="宋体" w:cs="宋体"/>
                      <w:color w:val="797873"/>
                      <w:kern w:val="0"/>
                      <w:sz w:val="18"/>
                      <w:szCs w:val="18"/>
                    </w:rPr>
                  </w:pPr>
                  <w:r>
                    <w:rPr>
                      <w:rFonts w:ascii="����" w:hAnsi="����" w:eastAsia="宋体" w:cs="宋体"/>
                      <w:color w:val="797873"/>
                      <w:kern w:val="0"/>
                      <w:sz w:val="18"/>
                      <w:szCs w:val="18"/>
                    </w:rPr>
                    <w:t>戴 曙</w:t>
                  </w:r>
                </w:p>
              </w:tc>
            </w:tr>
          </w:tbl>
          <w:p>
            <w:pPr>
              <w:widowControl/>
              <w:spacing w:before="125" w:after="125" w:line="271" w:lineRule="atLeast"/>
              <w:jc w:val="left"/>
              <w:rPr>
                <w:rFonts w:ascii="����" w:hAnsi="����" w:eastAsia="宋体" w:cs="宋体"/>
                <w:color w:val="000000"/>
                <w:kern w:val="0"/>
                <w:sz w:val="15"/>
                <w:szCs w:val="15"/>
              </w:rPr>
            </w:pPr>
          </w:p>
        </w:tc>
      </w:tr>
      <w:tr>
        <w:tblPrEx>
          <w:tblCellMar>
            <w:top w:w="0" w:type="dxa"/>
            <w:left w:w="0" w:type="dxa"/>
            <w:bottom w:w="0" w:type="dxa"/>
            <w:right w:w="0" w:type="dxa"/>
          </w:tblCellMar>
        </w:tblPrEx>
        <w:trPr>
          <w:tblCellSpacing w:w="0" w:type="dxa"/>
        </w:trPr>
        <w:tc>
          <w:tcPr>
            <w:tcW w:w="0" w:type="auto"/>
            <w:shd w:val="clear" w:color="auto" w:fill="FFFFFF"/>
            <w:tcMar>
              <w:top w:w="63" w:type="dxa"/>
              <w:left w:w="63" w:type="dxa"/>
              <w:bottom w:w="63" w:type="dxa"/>
              <w:right w:w="63" w:type="dxa"/>
            </w:tcMar>
            <w:vAlign w:val="center"/>
          </w:tcPr>
          <w:p>
            <w:pPr>
              <w:widowControl/>
              <w:spacing w:before="100" w:beforeAutospacing="1" w:after="100" w:afterAutospacing="1" w:line="271" w:lineRule="atLeast"/>
              <w:ind w:firstLine="225"/>
              <w:jc w:val="left"/>
              <w:rPr>
                <w:rFonts w:hint="eastAsia" w:asciiTheme="majorEastAsia" w:hAnsiTheme="majorEastAsia" w:eastAsiaTheme="majorEastAsia" w:cstheme="majorEastAsia"/>
                <w:b/>
                <w:color w:val="000000"/>
                <w:kern w:val="0"/>
                <w:sz w:val="21"/>
                <w:szCs w:val="21"/>
              </w:rPr>
            </w:pPr>
            <w:r>
              <w:rPr>
                <w:rFonts w:ascii="����" w:hAnsi="����" w:eastAsia="宋体" w:cs="宋体"/>
                <w:color w:val="000000"/>
                <w:kern w:val="0"/>
                <w:sz w:val="28"/>
                <w:szCs w:val="28"/>
              </w:rPr>
              <w:t>   </w:t>
            </w:r>
            <w:r>
              <w:rPr>
                <w:rFonts w:hint="eastAsia" w:asciiTheme="majorEastAsia" w:hAnsiTheme="majorEastAsia" w:eastAsiaTheme="majorEastAsia" w:cstheme="majorEastAsia"/>
                <w:b/>
                <w:color w:val="000000"/>
                <w:kern w:val="0"/>
                <w:sz w:val="21"/>
                <w:szCs w:val="21"/>
              </w:rPr>
              <w:t> 人民法院内部诉源治理，即衍生诉讼案件治理，就是要尽最大可能促进案结事了，努力从源头上减少上诉、申诉、再审、执行、信访等衍生案件。全国法院干警必须从更高的政治站位出发，充分认识加强新时代人民法院内部诉源治理的重大意义，落实落细人民法院内部诉源治理各项工作。</w:t>
            </w:r>
          </w:p>
          <w:p>
            <w:pPr>
              <w:widowControl/>
              <w:spacing w:before="100" w:beforeAutospacing="1" w:after="100" w:afterAutospacing="1" w:line="271" w:lineRule="atLeast"/>
              <w:ind w:firstLine="225"/>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党的二十大报告明确提出，要加快建设公正高效权威的社会主义司法制度，努力让人民群众在每一个司法案件中感受到公平正义。加强新时代人民法院内部诉源治理，既是努力实现党的二十大决策部署的现实需要，又是贯彻落实党的二十大决策部署的重要举措。人民法院内部诉源治理，即衍生诉讼案件治理，就是要尽最大可能促进案结事了，努力从源头上减少上诉、申诉、再审、执行、信访等衍生案件。</w:t>
            </w:r>
          </w:p>
          <w:p>
            <w:pPr>
              <w:widowControl/>
              <w:spacing w:before="100" w:beforeAutospacing="1" w:after="100" w:afterAutospacing="1" w:line="271" w:lineRule="atLeast"/>
              <w:ind w:firstLine="225"/>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2021年2月，中央全面深化改革委员会第十八次会议审议通过《关于加强诉源治理推动矛盾纠纷源头化解的意见》明确提出，要减少衍生诉讼案件发生……形成诉内治理工作闭环。最高人民法院院长张军亦明确指出，法院内部也存在诉源治理。因此，全国法院干警必须从更高的政治站位出发，充分认识加强新时代人民法院内部诉源治理的重大意义，落实落细人民法院内部诉源治理各项工作。</w:t>
            </w:r>
          </w:p>
          <w:p>
            <w:pPr>
              <w:widowControl/>
              <w:spacing w:before="100" w:beforeAutospacing="1" w:after="100" w:afterAutospacing="1" w:line="271" w:lineRule="atLeast"/>
              <w:ind w:firstLine="225"/>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加强新时代人民法院内部诉源治理，是实现司法公正的需要。司法是维护社会公平正义的最后一道防线，司法公正包括实体公正和程序公正。加强新时代人民法院内部诉源治理，一是要实现实体公正。如果实体不公正，往往会引起当事人上诉和申请再审，导致一审不能案结事了，进而衍生出二审案件；二审不能案结事了，从而衍生出申请再审审查案件或者再审案件，甚至成为后续信访案件的导火索。因此，人民法院创新发展新时代“枫桥经验”，就是要牢固树立“纠纷一次性实质解决”理念，尽最大努力提升一审服判息诉率，减少上诉、申诉案件，努力做到“小案不出一审法院，大案不出二审法院，诉讼矛盾纠纷不上交”。二是要保障程序公正。如果程序不公正，也极易引发当事人不满，认为“司法不公”，导致衍生案件发生。如不当驳回起诉或者非必要驳回起诉案件，当事人往往会选择上诉，如果二审未能及时纠正，当事人就会进一步申请再审，如果经再审审查发现一、二审裁定错误，则会指令二审法院再审，二审法院再审后一般又会发回一审法院重审，一件案件兜兜转转最后可能才进入实体审理。这样经过三级法院多个衍生案件周转下来，既增加了当事人诉累，也浪费了司法资源，一定程度上损害了司法公信力。同时，司法公正还应包括裁判公正和感受公正。也就是说，人民法院不仅要做到实体上和程序上裁判公正，还要努力让当事人切实感受到司法裁判的公正。对此，一是要处理好“依法办案”和“自由裁量”的关系。牢记“依法办案”只是底线要求，法官要在法定的自由裁量范围内，在法律空间中寻求最佳处理效果，让人民群众充分感受到公平正义。二是要处理好“三个效果”有机统一的关系。法院干警要谨记案件政治效果、社会效果、法律效果有机统一，必须以严格依法裁判为基础，要坚持以法为据、以理服人、以情感人。三是要处理好“法官善说”与“法官善听”的关系。“善说”是指法官既要义正辞严讲清法理，又要循循善诱讲明事理，更要感同身受讲透情理；“善听”就是要善于倾听，对当事人有耐心、对案件有责任心，让当事人感受到司法的力量和温度。</w:t>
            </w:r>
          </w:p>
          <w:p>
            <w:pPr>
              <w:widowControl/>
              <w:spacing w:before="100" w:beforeAutospacing="1" w:after="100" w:afterAutospacing="1" w:line="271" w:lineRule="atLeast"/>
              <w:ind w:firstLine="225"/>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加强新时代人民法院内部诉源治理，也是提升司法效率的需要。张军院长曾明确指出，老百姓到法院是为了解决问题的，绝不是来“走程序”的。程序合乎规范，同时能实质解决问题，案结事了，才是诉讼的目的、才能体现诉讼的价值。“诉讼迟延”不仅可能成为“接近正义”的阻碍，而且可能影响判决的准确性和效用性，必须防止因“程序空转”而导致“诉讼迟延”的发生。具体到个案中，诉讼拖延可能导致证据灭失而影响事实查明，进而影响判决的准确性；在道路交通事故人身损害赔偿案件中，如果诉讼过分迟延，当事人因不能及时获得赔偿款进行救治，即使最后判决再怎么正确，都将侵蚀判决的效用性。因此，法官要努力避免不当拆分案件、随意移送管辖、不当驳回起诉、引导当事人先撤诉再起诉等“程序空转”现象。另外，加强人民法院内部诉源治理，还要注意“审级空转、一事多案”现象，严格规范二审以及适用二审程序再审发回重审，努力从源头上减少因“审级空转”而产生的衍生诉讼案件。最后，需要强调的是，笔者认为正义的第二种含义是效率，司法公正本身就内含着司法效率的要求，效率必须服从服务于公正。正如张军院长所言，“快”必须以“好”为基础，一味图快，导致后续上诉、申诉、上访无休无止，这样不考虑公正、效果的效率是低效率甚至是负效率。</w:t>
            </w:r>
          </w:p>
          <w:p>
            <w:pPr>
              <w:widowControl/>
              <w:spacing w:before="100" w:beforeAutospacing="1" w:after="100" w:afterAutospacing="1" w:line="271" w:lineRule="atLeast"/>
              <w:ind w:firstLine="225"/>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    加强新时代人民法院内部诉源治理，还是维护司法权威的需要。司法权威既源于司法的终局性，又源于国家的强制力。系统论法学认为，法律系统的主要功能是稳定规范性预期，并通过“矫正正义”使“偏离预期”行为得以矫正，重新回到规范性预期轨道上来，切实提升司法公信力，维护司法权威性。具体而言，即规范性的法律是怎么规定的，司法就怎么处理。如出现违约行为，通过法院裁判使违约者不仅要继续按约履行，还要承担违约责任。如出现侵权行为，通过法院裁判使侵权者不仅要停止侵权，还要承担损害赔偿责任。如出现权属争议，通过法院裁判使得权属明确，定分止争，使有权者可以合法占有支配使用，无权者不得非法占用支配使用。也就是说，通过司法裁判的矫正作用，使得法律系统稳定规范性预期的主要功能得以实现，让社会公众对法律规范有信心，对人民司法有信心，对法律秩序有信心，进而提高全社会的稳定性。也正因为司法裁判具有稳定社会规范性预期的功能，才使得司法具有公信力和权威性。因此，司法要实现稳定规范性预期的功能，就必须具有终局性和确定性，不能终审不终，或者生效裁判得不到信服认可，甚至难以执行。而绝大多数涉及民事诉讼案件的信访，主要系当事人为了改变生效裁判的申诉和希望影响执行的申诉，往往会对司法的终局性和强制力造成冲击，甚至出现所谓“信访不信法”现象，严重损害司法权威。因此，加强人民法院内部诉源治理，一方面要抓实执源治理，努力减少执行衍生案件，最大限度兑现当事人胜诉权益；另一方面也要抓实信源治理，同时做到有信必复，实现息诉罢访，减少案件在司法程序上已经终了但当事人却没有服判息诉而不断上访现象的发生，着力推动涉诉信访实质化解。</w:t>
            </w:r>
          </w:p>
          <w:p>
            <w:pPr>
              <w:widowControl/>
              <w:spacing w:before="100" w:beforeAutospacing="1" w:after="100" w:afterAutospacing="1" w:line="271" w:lineRule="atLeast"/>
              <w:ind w:firstLine="225"/>
              <w:jc w:val="left"/>
              <w:rPr>
                <w:rFonts w:ascii="����" w:hAnsi="����" w:eastAsia="宋体" w:cs="宋体"/>
                <w:color w:val="000000"/>
                <w:kern w:val="0"/>
                <w:sz w:val="28"/>
                <w:szCs w:val="28"/>
              </w:rPr>
            </w:pPr>
            <w:r>
              <w:rPr>
                <w:rFonts w:hint="eastAsia" w:asciiTheme="majorEastAsia" w:hAnsiTheme="majorEastAsia" w:eastAsiaTheme="majorEastAsia" w:cstheme="majorEastAsia"/>
                <w:color w:val="000000"/>
                <w:kern w:val="0"/>
                <w:sz w:val="21"/>
                <w:szCs w:val="21"/>
              </w:rPr>
              <w:t>    （作者单位：上海市高级人民法院）</w:t>
            </w:r>
          </w:p>
        </w:tc>
      </w:tr>
    </w:tbl>
    <w:p>
      <w:pPr>
        <w:rPr>
          <w:sz w:val="28"/>
          <w:szCs w:val="28"/>
        </w:rPr>
      </w:pPr>
    </w:p>
    <w:p>
      <w:pPr>
        <w:widowControl w:val="0"/>
        <w:autoSpaceDE w:val="0"/>
        <w:autoSpaceDN w:val="0"/>
        <w:adjustRightInd w:val="0"/>
        <w:spacing w:line="420" w:lineRule="exact"/>
        <w:jc w:val="both"/>
        <w:rPr>
          <w:rFonts w:ascii="仿宋_GB2312" w:hAnsi="仿宋" w:eastAsia="仿宋_GB2312" w:cs="华文中宋"/>
          <w:sz w:val="24"/>
          <w:szCs w:val="24"/>
        </w:rPr>
      </w:pPr>
      <w:r>
        <w:rPr>
          <w:rFonts w:ascii="楷体" w:hAnsi="楷体" w:eastAsia="楷体"/>
          <w:b/>
          <w:bCs/>
          <w:sz w:val="28"/>
          <w:szCs w:val="28"/>
        </w:rPr>
        <w:br w:type="page"/>
      </w:r>
    </w:p>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2023年每月第二周刊载作品目录</w:t>
      </w:r>
    </w:p>
    <w:p>
      <w:pPr>
        <w:widowControl w:val="0"/>
        <w:autoSpaceDE w:val="0"/>
        <w:autoSpaceDN w:val="0"/>
        <w:adjustRightInd w:val="0"/>
        <w:spacing w:line="200" w:lineRule="exact"/>
        <w:jc w:val="both"/>
        <w:rPr>
          <w:rFonts w:ascii="仿宋_GB2312" w:hAnsi="仿宋" w:eastAsia="仿宋_GB2312" w:cs="华文中宋"/>
          <w:sz w:val="24"/>
          <w:szCs w:val="24"/>
        </w:rPr>
      </w:pPr>
    </w:p>
    <w:tbl>
      <w:tblPr>
        <w:tblStyle w:val="4"/>
        <w:tblW w:w="9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30"/>
        <w:gridCol w:w="6574"/>
        <w:gridCol w:w="21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6" w:hRule="atLeast"/>
          <w:jc w:val="center"/>
        </w:trPr>
        <w:tc>
          <w:tcPr>
            <w:tcW w:w="1030" w:type="dxa"/>
          </w:tcPr>
          <w:p>
            <w:pPr>
              <w:pStyle w:val="6"/>
              <w:spacing w:before="132"/>
              <w:ind w:right="211"/>
              <w:jc w:val="right"/>
              <w:rPr>
                <w:rFonts w:ascii="华文中宋" w:eastAsia="华文中宋"/>
                <w:sz w:val="28"/>
              </w:rPr>
            </w:pPr>
            <w:r>
              <w:rPr>
                <w:rFonts w:hint="eastAsia" w:ascii="华文中宋" w:eastAsia="华文中宋"/>
                <w:sz w:val="28"/>
              </w:rPr>
              <w:t>月份</w:t>
            </w:r>
          </w:p>
        </w:tc>
        <w:tc>
          <w:tcPr>
            <w:tcW w:w="6574" w:type="dxa"/>
          </w:tcPr>
          <w:p>
            <w:pPr>
              <w:pStyle w:val="6"/>
              <w:tabs>
                <w:tab w:val="left" w:pos="845"/>
              </w:tabs>
              <w:spacing w:before="132"/>
              <w:ind w:left="8"/>
              <w:jc w:val="center"/>
              <w:rPr>
                <w:rFonts w:ascii="华文中宋" w:eastAsia="华文中宋"/>
                <w:sz w:val="28"/>
              </w:rPr>
            </w:pPr>
            <w:r>
              <w:rPr>
                <w:rFonts w:hint="eastAsia" w:ascii="华文中宋" w:eastAsia="华文中宋"/>
                <w:sz w:val="28"/>
              </w:rPr>
              <w:t>标</w:t>
            </w:r>
            <w:r>
              <w:rPr>
                <w:rFonts w:hint="eastAsia" w:ascii="华文中宋" w:eastAsia="华文中宋"/>
                <w:sz w:val="28"/>
              </w:rPr>
              <w:tab/>
            </w:r>
            <w:r>
              <w:rPr>
                <w:rFonts w:hint="eastAsia" w:ascii="华文中宋" w:eastAsia="华文中宋"/>
                <w:sz w:val="28"/>
              </w:rPr>
              <w:t>题</w:t>
            </w:r>
          </w:p>
        </w:tc>
        <w:tc>
          <w:tcPr>
            <w:tcW w:w="2195" w:type="dxa"/>
          </w:tcPr>
          <w:p>
            <w:pPr>
              <w:pStyle w:val="6"/>
              <w:spacing w:before="132"/>
              <w:ind w:left="593"/>
              <w:rPr>
                <w:rFonts w:ascii="华文中宋" w:eastAsia="华文中宋"/>
                <w:sz w:val="28"/>
              </w:rPr>
            </w:pPr>
            <w:r>
              <w:rPr>
                <w:rFonts w:hint="eastAsia" w:ascii="华文中宋" w:eastAsia="华文中宋"/>
                <w:sz w:val="28"/>
              </w:rPr>
              <w:t>刊登日期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030" w:type="dxa"/>
            <w:vAlign w:val="center"/>
          </w:tcPr>
          <w:p>
            <w:pPr>
              <w:pStyle w:val="6"/>
              <w:spacing w:before="132"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1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《在奋斗中感受职业荣誉和幸福》</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《发挥司法职能 助力构建数据基础制度》</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1月14日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1月16日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3" w:hRule="atLeast"/>
          <w:jc w:val="center"/>
        </w:trPr>
        <w:tc>
          <w:tcPr>
            <w:tcW w:w="1030" w:type="dxa"/>
            <w:vAlign w:val="center"/>
          </w:tcPr>
          <w:p>
            <w:pPr>
              <w:pStyle w:val="6"/>
              <w:spacing w:before="135"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2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《持续推进执行工作高质量发展》</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《以高效能司法助推高品质创新》</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2月7日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2月11日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030" w:type="dxa"/>
            <w:vAlign w:val="center"/>
          </w:tcPr>
          <w:p>
            <w:pPr>
              <w:pStyle w:val="6"/>
              <w:spacing w:before="132"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3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《加强代表委员联络让司法工作知民情晓民意》</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《抓实抓好“公正和效率”这个主题》</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3月21日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3月22日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030" w:type="dxa"/>
            <w:vAlign w:val="center"/>
          </w:tcPr>
          <w:p>
            <w:pPr>
              <w:pStyle w:val="6"/>
              <w:spacing w:before="132"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4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《深入推进以审判为中心的刑事诉讼制度改革》</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《解决好调查研究中的几个问题》</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4月3日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4月7日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3" w:hRule="atLeast"/>
          <w:jc w:val="center"/>
        </w:trPr>
        <w:tc>
          <w:tcPr>
            <w:tcW w:w="1030" w:type="dxa"/>
            <w:vAlign w:val="center"/>
          </w:tcPr>
          <w:p>
            <w:pPr>
              <w:pStyle w:val="6"/>
              <w:spacing w:before="135"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5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《扎实做好司法建议工作 做实“抓前端、治未病”》</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《为农业强国建设持续释放司法动能》</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5月10日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5月14日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030" w:type="dxa"/>
            <w:vAlign w:val="center"/>
          </w:tcPr>
          <w:p>
            <w:pPr>
              <w:pStyle w:val="6"/>
              <w:spacing w:before="132"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6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《紧扣“公正与效率”全方位发力发展》</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《加快推进刑事审判理念现代化的几个着力点》</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6月6日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6月13日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030" w:type="dxa"/>
            <w:vAlign w:val="center"/>
          </w:tcPr>
          <w:p>
            <w:pPr>
              <w:pStyle w:val="6"/>
              <w:spacing w:before="132"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7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《善用“我的纠纷我做主”解决民商事纠纷》</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《敏察变与不变 做深做实新时代能动司法》</w:t>
            </w:r>
          </w:p>
        </w:tc>
        <w:tc>
          <w:tcPr>
            <w:tcW w:w="2195" w:type="dxa"/>
            <w:vAlign w:val="center"/>
          </w:tcPr>
          <w:p>
            <w:pPr>
              <w:pStyle w:val="6"/>
              <w:spacing w:line="240" w:lineRule="auto"/>
              <w:jc w:val="center"/>
              <w:rPr>
                <w:rFonts w:hint="eastAsia" w:ascii="仿宋" w:hAnsi="仿宋" w:eastAsia="仿宋" w:cs="仿宋"/>
                <w:kern w:val="2"/>
                <w:sz w:val="24"/>
                <w:szCs w:val="24"/>
              </w:rPr>
            </w:pPr>
            <w:r>
              <w:rPr>
                <w:rFonts w:hint="eastAsia" w:ascii="仿宋" w:hAnsi="仿宋" w:eastAsia="仿宋" w:cs="仿宋"/>
                <w:kern w:val="2"/>
                <w:sz w:val="24"/>
                <w:szCs w:val="24"/>
              </w:rPr>
              <w:t>7月5日</w:t>
            </w:r>
          </w:p>
          <w:p>
            <w:pPr>
              <w:pStyle w:val="6"/>
              <w:spacing w:line="240" w:lineRule="auto"/>
              <w:jc w:val="center"/>
              <w:rPr>
                <w:rFonts w:hint="eastAsia" w:ascii="仿宋" w:hAnsi="仿宋" w:eastAsia="仿宋" w:cs="仿宋"/>
                <w:sz w:val="24"/>
                <w:szCs w:val="24"/>
              </w:rPr>
            </w:pPr>
            <w:r>
              <w:rPr>
                <w:rFonts w:hint="eastAsia" w:ascii="仿宋" w:hAnsi="仿宋" w:eastAsia="仿宋" w:cs="仿宋"/>
                <w:kern w:val="2"/>
                <w:sz w:val="24"/>
                <w:szCs w:val="24"/>
              </w:rPr>
              <w:t>7月7日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5" w:hRule="atLeast"/>
          <w:jc w:val="center"/>
        </w:trPr>
        <w:tc>
          <w:tcPr>
            <w:tcW w:w="1030" w:type="dxa"/>
            <w:vAlign w:val="center"/>
          </w:tcPr>
          <w:p>
            <w:pPr>
              <w:pStyle w:val="6"/>
              <w:spacing w:before="135"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8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《充分认识加强内部诉源治理的重大意义》</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《把案结事了政通人和理念融入审判工作》</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8月8日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8月9日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030" w:type="dxa"/>
            <w:vAlign w:val="center"/>
          </w:tcPr>
          <w:p>
            <w:pPr>
              <w:pStyle w:val="6"/>
              <w:spacing w:before="132" w:line="240" w:lineRule="auto"/>
              <w:ind w:right="230"/>
              <w:jc w:val="center"/>
              <w:rPr>
                <w:rFonts w:hint="eastAsia" w:ascii="仿宋" w:hAnsi="仿宋" w:eastAsia="仿宋" w:cs="仿宋"/>
                <w:sz w:val="24"/>
                <w:szCs w:val="24"/>
              </w:rPr>
            </w:pPr>
            <w:r>
              <w:rPr>
                <w:rFonts w:hint="eastAsia" w:ascii="仿宋" w:hAnsi="仿宋" w:eastAsia="仿宋" w:cs="仿宋"/>
                <w:sz w:val="24"/>
                <w:szCs w:val="24"/>
              </w:rPr>
              <w:t>9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《善用系统观念 推进审判管理现代化》</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《新时代“枫桥经验”是党的群众路线的具体实践》</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9月4日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9月8日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1" w:hRule="atLeast"/>
          <w:jc w:val="center"/>
        </w:trPr>
        <w:tc>
          <w:tcPr>
            <w:tcW w:w="1030" w:type="dxa"/>
            <w:vAlign w:val="center"/>
          </w:tcPr>
          <w:p>
            <w:pPr>
              <w:pStyle w:val="6"/>
              <w:spacing w:before="132" w:line="240" w:lineRule="auto"/>
              <w:ind w:right="141"/>
              <w:jc w:val="center"/>
              <w:rPr>
                <w:rFonts w:hint="eastAsia" w:ascii="仿宋" w:hAnsi="仿宋" w:eastAsia="仿宋" w:cs="仿宋"/>
                <w:sz w:val="24"/>
                <w:szCs w:val="24"/>
              </w:rPr>
            </w:pPr>
            <w:r>
              <w:rPr>
                <w:rFonts w:hint="eastAsia" w:ascii="仿宋" w:hAnsi="仿宋" w:eastAsia="仿宋" w:cs="仿宋"/>
                <w:sz w:val="24"/>
                <w:szCs w:val="24"/>
              </w:rPr>
              <w:t>10 月</w:t>
            </w:r>
          </w:p>
        </w:tc>
        <w:tc>
          <w:tcPr>
            <w:tcW w:w="6574" w:type="dxa"/>
            <w:vAlign w:val="center"/>
          </w:tcPr>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《充分发挥互联网司法规则治理功能 助力实现共同富裕》《深入领会贯彻新理念 抓实“公正与效率”》</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10月14日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10月20日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3" w:hRule="atLeast"/>
          <w:jc w:val="center"/>
        </w:trPr>
        <w:tc>
          <w:tcPr>
            <w:tcW w:w="1030" w:type="dxa"/>
            <w:vAlign w:val="center"/>
          </w:tcPr>
          <w:p>
            <w:pPr>
              <w:pStyle w:val="6"/>
              <w:spacing w:before="135" w:line="240" w:lineRule="auto"/>
              <w:ind w:right="141"/>
              <w:jc w:val="center"/>
              <w:rPr>
                <w:rFonts w:hint="eastAsia" w:ascii="仿宋" w:hAnsi="仿宋" w:eastAsia="仿宋" w:cs="仿宋"/>
                <w:sz w:val="24"/>
                <w:szCs w:val="24"/>
              </w:rPr>
            </w:pPr>
            <w:r>
              <w:rPr>
                <w:rFonts w:hint="eastAsia" w:ascii="仿宋" w:hAnsi="仿宋" w:eastAsia="仿宋" w:cs="仿宋"/>
                <w:sz w:val="24"/>
                <w:szCs w:val="24"/>
              </w:rPr>
              <w:t>11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《创新网络暴力综治体系 共建天朗气清法治空间》</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《将审判一线工作现代化压实压牢》</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11月6日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11月21日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82" w:hRule="atLeast"/>
          <w:jc w:val="center"/>
        </w:trPr>
        <w:tc>
          <w:tcPr>
            <w:tcW w:w="1030" w:type="dxa"/>
            <w:vAlign w:val="center"/>
          </w:tcPr>
          <w:p>
            <w:pPr>
              <w:pStyle w:val="6"/>
              <w:spacing w:before="132" w:line="240" w:lineRule="auto"/>
              <w:ind w:right="141"/>
              <w:jc w:val="center"/>
              <w:rPr>
                <w:rFonts w:hint="eastAsia" w:ascii="仿宋" w:hAnsi="仿宋" w:eastAsia="仿宋" w:cs="仿宋"/>
                <w:sz w:val="24"/>
                <w:szCs w:val="24"/>
              </w:rPr>
            </w:pPr>
            <w:r>
              <w:rPr>
                <w:rFonts w:hint="eastAsia" w:ascii="仿宋" w:hAnsi="仿宋" w:eastAsia="仿宋" w:cs="仿宋"/>
                <w:sz w:val="24"/>
                <w:szCs w:val="24"/>
              </w:rPr>
              <w:t>12 月</w:t>
            </w:r>
          </w:p>
        </w:tc>
        <w:tc>
          <w:tcPr>
            <w:tcW w:w="6574" w:type="dxa"/>
            <w:vAlign w:val="center"/>
          </w:tcPr>
          <w:p>
            <w:pPr>
              <w:pStyle w:val="6"/>
              <w:spacing w:line="240" w:lineRule="auto"/>
              <w:jc w:val="both"/>
              <w:rPr>
                <w:rFonts w:hint="eastAsia" w:ascii="仿宋" w:hAnsi="仿宋" w:eastAsia="仿宋" w:cs="仿宋"/>
                <w:kern w:val="2"/>
                <w:sz w:val="24"/>
                <w:szCs w:val="24"/>
              </w:rPr>
            </w:pPr>
            <w:r>
              <w:rPr>
                <w:rFonts w:hint="eastAsia" w:ascii="仿宋" w:hAnsi="仿宋" w:eastAsia="仿宋" w:cs="仿宋"/>
                <w:kern w:val="2"/>
                <w:sz w:val="24"/>
                <w:szCs w:val="24"/>
              </w:rPr>
              <w:t>《共筑未成年人司法保护的坚强堡垒》</w:t>
            </w:r>
          </w:p>
          <w:p>
            <w:pPr>
              <w:pStyle w:val="6"/>
              <w:spacing w:line="240" w:lineRule="auto"/>
              <w:jc w:val="both"/>
              <w:rPr>
                <w:rFonts w:hint="eastAsia" w:ascii="仿宋" w:hAnsi="仿宋" w:eastAsia="仿宋" w:cs="仿宋"/>
                <w:sz w:val="24"/>
                <w:szCs w:val="24"/>
              </w:rPr>
            </w:pPr>
            <w:r>
              <w:rPr>
                <w:rFonts w:hint="eastAsia" w:ascii="仿宋" w:hAnsi="仿宋" w:eastAsia="仿宋" w:cs="仿宋"/>
                <w:kern w:val="2"/>
                <w:sz w:val="24"/>
                <w:szCs w:val="24"/>
              </w:rPr>
              <w:t>《协同治理共建美丽中国》</w:t>
            </w:r>
          </w:p>
        </w:tc>
        <w:tc>
          <w:tcPr>
            <w:tcW w:w="2195" w:type="dxa"/>
            <w:vAlign w:val="center"/>
          </w:tcPr>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12月8日</w:t>
            </w:r>
          </w:p>
          <w:p>
            <w:pPr>
              <w:pStyle w:val="6"/>
              <w:spacing w:line="240" w:lineRule="auto"/>
              <w:jc w:val="center"/>
              <w:rPr>
                <w:rFonts w:hint="eastAsia" w:ascii="仿宋" w:hAnsi="仿宋" w:eastAsia="仿宋" w:cs="仿宋"/>
                <w:sz w:val="24"/>
                <w:szCs w:val="24"/>
              </w:rPr>
            </w:pPr>
            <w:r>
              <w:rPr>
                <w:rFonts w:hint="eastAsia" w:ascii="仿宋" w:hAnsi="仿宋" w:eastAsia="仿宋" w:cs="仿宋"/>
                <w:sz w:val="24"/>
                <w:szCs w:val="24"/>
              </w:rPr>
              <w:t>12月9日</w:t>
            </w:r>
          </w:p>
        </w:tc>
      </w:tr>
    </w:tbl>
    <w:p>
      <w:pPr>
        <w:widowControl w:val="0"/>
        <w:autoSpaceDE w:val="0"/>
        <w:autoSpaceDN w:val="0"/>
        <w:adjustRightInd w:val="0"/>
        <w:spacing w:line="420" w:lineRule="exact"/>
        <w:jc w:val="both"/>
      </w:pPr>
      <w:r>
        <w:rPr>
          <w:rFonts w:hint="eastAsia" w:ascii="楷体" w:eastAsia="楷体"/>
          <w:sz w:val="28"/>
        </w:rPr>
        <w:t>填写连续12个月每月第二周刊载的作品标题（如遇重大节假日或重大事件，顺延一周），日刊栏目填写每月第二周任意一天刊载的作品标题，动态消息集纳式栏目填报栏目名称。</w:t>
      </w:r>
    </w:p>
    <w:sectPr>
      <w:pgSz w:w="11906" w:h="16838"/>
      <w:pgMar w:top="85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Y0OGU4ZWEzYTFhZTdkYTA1MWQyMDVhMzA0ODI5NDYifQ=="/>
  </w:docVars>
  <w:rsids>
    <w:rsidRoot w:val="00687576"/>
    <w:rsid w:val="00002DEF"/>
    <w:rsid w:val="00681E36"/>
    <w:rsid w:val="00687576"/>
    <w:rsid w:val="0087776C"/>
    <w:rsid w:val="008805E5"/>
    <w:rsid w:val="00A10BF5"/>
    <w:rsid w:val="00D02C95"/>
    <w:rsid w:val="00D37E43"/>
    <w:rsid w:val="00E471A4"/>
    <w:rsid w:val="0941190D"/>
    <w:rsid w:val="2CA96DA8"/>
    <w:rsid w:val="315A443F"/>
    <w:rsid w:val="4B0034A7"/>
    <w:rsid w:val="4E1E5111"/>
    <w:rsid w:val="6B4573D7"/>
    <w:rsid w:val="74880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pPr>
    <w:rPr>
      <w:sz w:val="18"/>
      <w:szCs w:val="18"/>
    </w:rPr>
  </w:style>
  <w:style w:type="paragraph" w:styleId="3">
    <w:name w:val="header"/>
    <w:basedOn w:val="1"/>
    <w:link w:val="7"/>
    <w:autoRedefine/>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Table Paragraph"/>
    <w:basedOn w:val="1"/>
    <w:autoRedefine/>
    <w:qFormat/>
    <w:uiPriority w:val="1"/>
    <w:pPr>
      <w:widowControl w:val="0"/>
      <w:autoSpaceDE w:val="0"/>
      <w:autoSpaceDN w:val="0"/>
    </w:pPr>
    <w:rPr>
      <w:rFonts w:ascii="仿宋" w:hAnsi="仿宋" w:eastAsia="仿宋" w:cs="仿宋"/>
      <w:kern w:val="0"/>
      <w:sz w:val="22"/>
      <w:lang w:val="zh-CN" w:bidi="zh-CN"/>
    </w:rPr>
  </w:style>
  <w:style w:type="character" w:customStyle="1" w:styleId="7">
    <w:name w:val="页眉 Char"/>
    <w:basedOn w:val="5"/>
    <w:link w:val="3"/>
    <w:autoRedefine/>
    <w:uiPriority w:val="99"/>
    <w:rPr>
      <w:rFonts w:ascii="Calibri" w:hAnsi="Calibri" w:eastAsia="宋体" w:cs="Times New Roman"/>
      <w:kern w:val="2"/>
      <w:sz w:val="18"/>
      <w:szCs w:val="18"/>
    </w:rPr>
  </w:style>
  <w:style w:type="character" w:customStyle="1" w:styleId="8">
    <w:name w:val="页脚 Char"/>
    <w:basedOn w:val="5"/>
    <w:link w:val="2"/>
    <w:autoRedefine/>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424</Words>
  <Characters>2419</Characters>
  <Lines>20</Lines>
  <Paragraphs>5</Paragraphs>
  <TotalTime>2</TotalTime>
  <ScaleCrop>false</ScaleCrop>
  <LinksUpToDate>false</LinksUpToDate>
  <CharactersWithSpaces>2838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2024-04-10T06:10:00Z</dcterms:created>
  <dc:creator>z1391</dc:creator>
  <cp:lastModifiedBy>火焱</cp:lastModifiedBy>
  <cp:lastPrinted>2024-04-15T00:51:00Z</cp:lastPrinted>
  <dcterms:modified xsi:type="dcterms:W3CDTF">2024-04-18T08:54:31Z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5CE4388927424EDBA4178D70B0634E26_12</vt:lpwstr>
  </property>
</Properties>
</file>