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中国新闻奖报纸、通讯社新闻专栏参评作品推荐表</w:t>
      </w:r>
    </w:p>
    <w:p>
      <w:pPr>
        <w:widowControl w:val="0"/>
        <w:spacing w:line="200" w:lineRule="exact"/>
        <w:jc w:val="center"/>
        <w:rPr>
          <w:rFonts w:ascii="华文中宋" w:hAnsi="华文中宋" w:eastAsia="华文中宋"/>
          <w:sz w:val="36"/>
          <w:szCs w:val="36"/>
        </w:rPr>
      </w:pPr>
    </w:p>
    <w:tbl>
      <w:tblPr>
        <w:tblStyle w:val="2"/>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424"/>
        <w:gridCol w:w="2539"/>
        <w:gridCol w:w="439"/>
        <w:gridCol w:w="1109"/>
        <w:gridCol w:w="451"/>
        <w:gridCol w:w="424"/>
        <w:gridCol w:w="3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2978" w:type="dxa"/>
            <w:gridSpan w:val="2"/>
            <w:vAlign w:val="center"/>
          </w:tcPr>
          <w:p>
            <w:pPr>
              <w:widowControl w:val="0"/>
              <w:autoSpaceDE w:val="0"/>
              <w:autoSpaceDN w:val="0"/>
              <w:adjustRightInd w:val="0"/>
              <w:spacing w:line="560" w:lineRule="exact"/>
              <w:jc w:val="center"/>
              <w:rPr>
                <w:rFonts w:hint="eastAsia" w:ascii="仿宋_GB2312" w:hAnsi="华文仿宋" w:eastAsia="仿宋_GB2312" w:cs="仿宋"/>
                <w:sz w:val="28"/>
                <w:szCs w:val="28"/>
                <w:lang w:val="en-US" w:eastAsia="zh-CN"/>
              </w:rPr>
            </w:pPr>
            <w:r>
              <w:rPr>
                <w:rFonts w:hint="eastAsia" w:ascii="仿宋_GB2312" w:hAnsi="华文仿宋" w:eastAsia="仿宋_GB2312" w:cs="仿宋"/>
                <w:sz w:val="28"/>
                <w:szCs w:val="28"/>
                <w:lang w:val="en-US" w:eastAsia="zh-CN"/>
              </w:rPr>
              <w:t>看世界</w:t>
            </w:r>
          </w:p>
        </w:tc>
        <w:tc>
          <w:tcPr>
            <w:tcW w:w="1560"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创办时间</w:t>
            </w:r>
          </w:p>
        </w:tc>
        <w:tc>
          <w:tcPr>
            <w:tcW w:w="3821" w:type="dxa"/>
            <w:gridSpan w:val="2"/>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2006</w:t>
            </w:r>
            <w:r>
              <w:rPr>
                <w:rFonts w:hint="eastAsia" w:ascii="仿宋_GB2312" w:hAnsi="华文仿宋" w:eastAsia="仿宋_GB2312" w:cs="仿宋"/>
                <w:sz w:val="28"/>
                <w:szCs w:val="28"/>
                <w:lang w:val="zh-CN"/>
              </w:rPr>
              <w:t>年</w:t>
            </w:r>
            <w:r>
              <w:rPr>
                <w:rFonts w:hint="eastAsia" w:ascii="仿宋_GB2312" w:hAnsi="华文仿宋" w:eastAsia="仿宋_GB2312" w:cs="仿宋"/>
                <w:sz w:val="28"/>
                <w:szCs w:val="28"/>
                <w:lang w:val="en-US" w:eastAsia="zh-CN"/>
              </w:rPr>
              <w:t>9</w:t>
            </w:r>
            <w:r>
              <w:rPr>
                <w:rFonts w:hint="eastAsia" w:ascii="仿宋_GB2312" w:hAnsi="华文仿宋" w:eastAsia="仿宋_GB2312" w:cs="仿宋"/>
                <w:sz w:val="28"/>
                <w:szCs w:val="28"/>
                <w:lang w:val="zh-CN"/>
              </w:rPr>
              <w:t>月</w:t>
            </w:r>
            <w:r>
              <w:rPr>
                <w:rFonts w:hint="eastAsia" w:ascii="仿宋_GB2312" w:hAnsi="华文仿宋" w:eastAsia="仿宋_GB2312" w:cs="仿宋"/>
                <w:sz w:val="28"/>
                <w:szCs w:val="28"/>
                <w:lang w:val="en-US" w:eastAsia="zh-CN"/>
              </w:rPr>
              <w:t>12</w:t>
            </w:r>
            <w:r>
              <w:rPr>
                <w:rFonts w:hint="eastAsia" w:ascii="仿宋_GB2312" w:hAnsi="华文仿宋" w:eastAsia="仿宋_GB2312"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原创单位</w:t>
            </w:r>
          </w:p>
        </w:tc>
        <w:tc>
          <w:tcPr>
            <w:tcW w:w="2978" w:type="dxa"/>
            <w:gridSpan w:val="2"/>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《经济参考报》社</w:t>
            </w:r>
          </w:p>
        </w:tc>
        <w:tc>
          <w:tcPr>
            <w:tcW w:w="1560" w:type="dxa"/>
            <w:gridSpan w:val="2"/>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821" w:type="dxa"/>
            <w:gridSpan w:val="2"/>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《经济参考报》社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字数</w:t>
            </w:r>
          </w:p>
        </w:tc>
        <w:tc>
          <w:tcPr>
            <w:tcW w:w="2978" w:type="dxa"/>
            <w:gridSpan w:val="2"/>
            <w:vAlign w:val="center"/>
          </w:tcPr>
          <w:p>
            <w:pPr>
              <w:widowControl w:val="0"/>
              <w:autoSpaceDE w:val="0"/>
              <w:autoSpaceDN w:val="0"/>
              <w:adjustRightInd w:val="0"/>
              <w:spacing w:line="560" w:lineRule="exact"/>
              <w:jc w:val="center"/>
              <w:rPr>
                <w:rFonts w:hint="default" w:ascii="仿宋_GB2312" w:hAnsi="华文仿宋" w:eastAsia="仿宋_GB2312" w:cs="仿宋"/>
                <w:sz w:val="28"/>
                <w:szCs w:val="28"/>
                <w:lang w:val="en-US" w:eastAsia="zh-CN"/>
              </w:rPr>
            </w:pPr>
            <w:r>
              <w:rPr>
                <w:rFonts w:hint="eastAsia" w:ascii="仿宋_GB2312" w:hAnsi="华文仿宋" w:eastAsia="仿宋_GB2312" w:cs="仿宋"/>
                <w:sz w:val="28"/>
                <w:szCs w:val="28"/>
                <w:lang w:val="en-US" w:eastAsia="zh-CN"/>
              </w:rPr>
              <w:t>2268</w:t>
            </w:r>
          </w:p>
        </w:tc>
        <w:tc>
          <w:tcPr>
            <w:tcW w:w="1560" w:type="dxa"/>
            <w:gridSpan w:val="2"/>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sz w:val="28"/>
                <w:szCs w:val="28"/>
              </w:rPr>
              <w:t>语种</w:t>
            </w:r>
          </w:p>
        </w:tc>
        <w:tc>
          <w:tcPr>
            <w:tcW w:w="3821" w:type="dxa"/>
            <w:gridSpan w:val="2"/>
            <w:vAlign w:val="center"/>
          </w:tcPr>
          <w:p>
            <w:pPr>
              <w:widowControl w:val="0"/>
              <w:autoSpaceDE w:val="0"/>
              <w:autoSpaceDN w:val="0"/>
              <w:adjustRightInd w:val="0"/>
              <w:spacing w:line="560" w:lineRule="exact"/>
              <w:jc w:val="center"/>
              <w:rPr>
                <w:rFonts w:hint="eastAsia" w:ascii="仿宋_GB2312" w:hAnsi="华文仿宋" w:eastAsia="仿宋_GB2312" w:cs="仿宋"/>
                <w:sz w:val="28"/>
                <w:szCs w:val="28"/>
                <w:lang w:val="en-US" w:eastAsia="zh-CN"/>
              </w:rPr>
            </w:pPr>
            <w:r>
              <w:rPr>
                <w:rFonts w:hint="eastAsia" w:ascii="仿宋_GB2312" w:hAnsi="华文仿宋" w:eastAsia="仿宋_GB2312" w:cs="仿宋"/>
                <w:sz w:val="28"/>
                <w:szCs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2978" w:type="dxa"/>
            <w:gridSpan w:val="2"/>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每周不定期</w:t>
            </w:r>
          </w:p>
        </w:tc>
        <w:tc>
          <w:tcPr>
            <w:tcW w:w="1560" w:type="dxa"/>
            <w:gridSpan w:val="2"/>
            <w:vAlign w:val="center"/>
          </w:tcPr>
          <w:p>
            <w:pPr>
              <w:widowControl w:val="0"/>
              <w:autoSpaceDE w:val="0"/>
              <w:autoSpaceDN w:val="0"/>
              <w:adjustRightInd w:val="0"/>
              <w:spacing w:line="560" w:lineRule="exact"/>
              <w:jc w:val="center"/>
              <w:rPr>
                <w:rFonts w:ascii="仿宋_GB2312" w:hAnsi="华文仿宋" w:eastAsia="仿宋_GB2312" w:cs="仿宋"/>
                <w:color w:val="000000"/>
                <w:sz w:val="28"/>
                <w:szCs w:val="28"/>
                <w:lang w:val="zh-CN"/>
              </w:rPr>
            </w:pPr>
            <w:r>
              <w:rPr>
                <w:rFonts w:hint="eastAsia" w:ascii="华文中宋" w:hAnsi="华文中宋" w:eastAsia="华文中宋"/>
                <w:color w:val="000000"/>
                <w:sz w:val="28"/>
                <w:szCs w:val="28"/>
              </w:rPr>
              <w:t>刊播版面</w:t>
            </w:r>
          </w:p>
        </w:tc>
        <w:tc>
          <w:tcPr>
            <w:tcW w:w="3821" w:type="dxa"/>
            <w:gridSpan w:val="2"/>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《经济参考报》国际版、要闻版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2978" w:type="dxa"/>
            <w:gridSpan w:val="2"/>
            <w:vAlign w:val="center"/>
          </w:tcPr>
          <w:p>
            <w:pPr>
              <w:widowControl w:val="0"/>
              <w:autoSpaceDE w:val="0"/>
              <w:autoSpaceDN w:val="0"/>
              <w:adjustRightInd w:val="0"/>
              <w:spacing w:line="560" w:lineRule="exact"/>
              <w:jc w:val="both"/>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周武英、刘春燕、陈威华、刘亚南、刘芳、康逸、傅云威</w:t>
            </w:r>
          </w:p>
        </w:tc>
        <w:tc>
          <w:tcPr>
            <w:tcW w:w="1560"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3821" w:type="dxa"/>
            <w:gridSpan w:val="2"/>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en-US" w:eastAsia="zh-CN"/>
              </w:rPr>
              <w:t>集体（张松、李志勇、方家喜、赵东东、廖冰清）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exact"/>
          <w:jc w:val="center"/>
        </w:trPr>
        <w:tc>
          <w:tcPr>
            <w:tcW w:w="107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783" w:type="dxa"/>
            <w:gridSpan w:val="7"/>
          </w:tcPr>
          <w:p>
            <w:pPr>
              <w:ind w:firstLine="420"/>
              <w:rPr>
                <w:rFonts w:ascii="宋体" w:hAnsi="宋体" w:eastAsia="宋体"/>
                <w:sz w:val="24"/>
              </w:rPr>
            </w:pPr>
            <w:r>
              <w:rPr>
                <w:rFonts w:hint="eastAsia" w:ascii="宋体" w:hAnsi="宋体" w:eastAsia="宋体"/>
                <w:sz w:val="24"/>
              </w:rPr>
              <w:t>《看世界》栏目主要邀请本报驻外记者及资深记者采写。作品紧抓国际热点、焦点新闻，选材大致宏观经济政策、小至百姓生活，以敏锐的视角、清新朴实的文风、短小精悍的篇幅、深入浅出的述评，对国际经济格局、国际形势、行业发展、市场趋势进行研判前瞻。</w:t>
            </w:r>
          </w:p>
          <w:p>
            <w:pPr>
              <w:widowControl w:val="0"/>
              <w:ind w:firstLine="480" w:firstLineChars="200"/>
              <w:rPr>
                <w:rFonts w:ascii="仿宋" w:hAnsi="仿宋" w:eastAsia="仿宋"/>
                <w:w w:val="95"/>
                <w:szCs w:val="21"/>
              </w:rPr>
            </w:pPr>
            <w:r>
              <w:rPr>
                <w:rFonts w:hint="eastAsia" w:ascii="宋体" w:hAnsi="宋体" w:eastAsia="宋体"/>
                <w:sz w:val="24"/>
              </w:rPr>
              <w:t>记者发回稿件后，由报纸版面编辑进行编辑制作，经过三审一校后刊登在纸媒，再经新媒体编辑进行编辑配图，部分作品配视频，刊发于经济参考报网站、经济参考报客户端以及新华社客户端。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exac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783" w:type="dxa"/>
            <w:gridSpan w:val="7"/>
          </w:tcPr>
          <w:p>
            <w:pPr>
              <w:widowControl w:val="0"/>
              <w:ind w:firstLine="420"/>
              <w:rPr>
                <w:rFonts w:ascii="仿宋" w:hAnsi="仿宋" w:eastAsia="仿宋"/>
                <w:szCs w:val="21"/>
              </w:rPr>
            </w:pPr>
          </w:p>
          <w:p>
            <w:pPr>
              <w:widowControl w:val="0"/>
              <w:ind w:firstLine="480" w:firstLineChars="200"/>
              <w:rPr>
                <w:rFonts w:ascii="仿宋" w:hAnsi="仿宋" w:eastAsia="仿宋"/>
                <w:szCs w:val="21"/>
              </w:rPr>
            </w:pPr>
            <w:r>
              <w:rPr>
                <w:rFonts w:hint="eastAsia" w:ascii="宋体" w:hAnsi="宋体" w:eastAsia="宋体"/>
                <w:sz w:val="24"/>
              </w:rPr>
              <w:t>《看世界》栏目受到读者欢迎，认为其有高远站位、全球视野、专业知识丰富、以数据说话、视角独到。2023年刊发的《看世界》稿件在新华社客户端点击浏览量超过5800万。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783" w:type="dxa"/>
            <w:gridSpan w:val="7"/>
          </w:tcPr>
          <w:p>
            <w:pPr>
              <w:widowControl w:val="0"/>
              <w:ind w:firstLine="420"/>
              <w:jc w:val="both"/>
              <w:rPr>
                <w:rFonts w:ascii="仿宋" w:hAnsi="仿宋" w:eastAsia="仿宋"/>
                <w:szCs w:val="21"/>
              </w:rPr>
            </w:pPr>
          </w:p>
          <w:p>
            <w:pPr>
              <w:ind w:firstLine="480" w:firstLineChars="200"/>
              <w:rPr>
                <w:rFonts w:ascii="仿宋" w:hAnsi="仿宋" w:eastAsia="仿宋"/>
                <w:szCs w:val="21"/>
              </w:rPr>
            </w:pPr>
            <w:r>
              <w:rPr>
                <w:rFonts w:hint="eastAsia" w:ascii="宋体" w:hAnsi="宋体" w:eastAsia="宋体"/>
                <w:sz w:val="24"/>
              </w:rPr>
              <w:t>专栏聚焦国际热点、焦点新闻，以国际视野、中国立场观察问题。既有重大主题，立意高远，也有民生题材，以小见大，内容丰富，文风朴实。</w:t>
            </w:r>
          </w:p>
          <w:p>
            <w:pPr>
              <w:widowControl w:val="0"/>
              <w:spacing w:line="360" w:lineRule="exact"/>
              <w:ind w:firstLine="3864" w:firstLineChars="1400"/>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2024年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2" w:type="dxa"/>
            <w:vAlign w:val="center"/>
          </w:tcPr>
          <w:p>
            <w:pPr>
              <w:widowControl w:val="0"/>
              <w:spacing w:line="300" w:lineRule="exact"/>
              <w:jc w:val="center"/>
              <w:rPr>
                <w:rFonts w:ascii="华文中宋" w:hAnsi="华文中宋" w:eastAsia="华文中宋"/>
                <w:sz w:val="28"/>
                <w:szCs w:val="28"/>
              </w:rPr>
            </w:pPr>
            <w:r>
              <w:rPr>
                <w:rFonts w:hint="eastAsia" w:ascii="华文中宋" w:hAnsi="华文中宋" w:eastAsia="华文中宋"/>
                <w:sz w:val="28"/>
                <w:szCs w:val="28"/>
              </w:rPr>
              <w:t>联系人</w:t>
            </w:r>
          </w:p>
        </w:tc>
        <w:tc>
          <w:tcPr>
            <w:tcW w:w="4511" w:type="dxa"/>
            <w:gridSpan w:val="4"/>
            <w:vAlign w:val="center"/>
          </w:tcPr>
          <w:p>
            <w:pPr>
              <w:widowControl w:val="0"/>
              <w:autoSpaceDE w:val="0"/>
              <w:autoSpaceDN w:val="0"/>
              <w:adjustRightInd w:val="0"/>
              <w:spacing w:line="300" w:lineRule="exact"/>
              <w:ind w:firstLine="480"/>
              <w:jc w:val="both"/>
              <w:rPr>
                <w:rFonts w:ascii="华文中宋" w:hAnsi="华文中宋" w:eastAsia="华文中宋"/>
                <w:sz w:val="28"/>
                <w:szCs w:val="28"/>
              </w:rPr>
            </w:pPr>
            <w:r>
              <w:rPr>
                <w:rFonts w:ascii="宋体" w:hAnsi="宋体" w:eastAsia="宋体"/>
                <w:sz w:val="24"/>
              </w:rPr>
              <w:t>张松</w:t>
            </w:r>
          </w:p>
        </w:tc>
        <w:tc>
          <w:tcPr>
            <w:tcW w:w="875" w:type="dxa"/>
            <w:gridSpan w:val="2"/>
            <w:vAlign w:val="center"/>
          </w:tcPr>
          <w:p>
            <w:pPr>
              <w:widowControl w:val="0"/>
              <w:spacing w:line="30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397" w:type="dxa"/>
            <w:vAlign w:val="center"/>
          </w:tcPr>
          <w:p>
            <w:pPr>
              <w:autoSpaceDE w:val="0"/>
              <w:autoSpaceDN w:val="0"/>
              <w:adjustRightInd w:val="0"/>
              <w:spacing w:line="300" w:lineRule="exact"/>
              <w:rPr>
                <w:rFonts w:ascii="华文中宋" w:hAnsi="华文中宋" w:eastAsia="华文中宋" w:cs="Times New Roman"/>
                <w:kern w:val="2"/>
                <w:sz w:val="28"/>
                <w:szCs w:val="28"/>
                <w:lang w:val="en-US" w:eastAsia="zh-CN" w:bidi="ar-SA"/>
              </w:rPr>
            </w:pPr>
            <w:r>
              <w:rPr>
                <w:rFonts w:hint="eastAsia" w:ascii="宋体" w:hAnsi="宋体" w:eastAsia="宋体"/>
                <w:sz w:val="24"/>
              </w:rPr>
              <w:t>18610503340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1072" w:type="dxa"/>
            <w:vAlign w:val="center"/>
          </w:tcPr>
          <w:p>
            <w:pPr>
              <w:widowControl w:val="0"/>
              <w:spacing w:line="300" w:lineRule="exact"/>
              <w:jc w:val="center"/>
              <w:rPr>
                <w:rFonts w:ascii="华文中宋" w:hAnsi="华文中宋" w:eastAsia="华文中宋"/>
                <w:sz w:val="28"/>
                <w:szCs w:val="28"/>
              </w:rPr>
            </w:pPr>
            <w:r>
              <w:rPr>
                <w:rFonts w:hint="eastAsia" w:ascii="华文中宋" w:hAnsi="华文中宋" w:eastAsia="华文中宋"/>
                <w:sz w:val="28"/>
                <w:szCs w:val="28"/>
              </w:rPr>
              <w:t>电话</w:t>
            </w:r>
          </w:p>
        </w:tc>
        <w:tc>
          <w:tcPr>
            <w:tcW w:w="2963" w:type="dxa"/>
            <w:gridSpan w:val="2"/>
            <w:vAlign w:val="center"/>
          </w:tcPr>
          <w:p>
            <w:pPr>
              <w:widowControl w:val="0"/>
              <w:autoSpaceDE w:val="0"/>
              <w:autoSpaceDN w:val="0"/>
              <w:adjustRightInd w:val="0"/>
              <w:spacing w:line="300" w:lineRule="exact"/>
              <w:jc w:val="both"/>
              <w:rPr>
                <w:rFonts w:ascii="华文中宋" w:hAnsi="华文中宋" w:eastAsia="华文中宋"/>
                <w:sz w:val="28"/>
                <w:szCs w:val="28"/>
              </w:rPr>
            </w:pPr>
            <w:r>
              <w:rPr>
                <w:rFonts w:hint="eastAsia" w:ascii="宋体" w:hAnsi="宋体" w:eastAsia="宋体"/>
                <w:sz w:val="24"/>
              </w:rPr>
              <w:t>63075470</w:t>
            </w:r>
          </w:p>
        </w:tc>
        <w:tc>
          <w:tcPr>
            <w:tcW w:w="1548" w:type="dxa"/>
            <w:gridSpan w:val="2"/>
            <w:vAlign w:val="center"/>
          </w:tcPr>
          <w:p>
            <w:pPr>
              <w:widowControl w:val="0"/>
              <w:spacing w:line="300" w:lineRule="exact"/>
              <w:jc w:val="center"/>
              <w:rPr>
                <w:rFonts w:ascii="华文中宋" w:hAnsi="华文中宋" w:eastAsia="华文中宋"/>
                <w:sz w:val="28"/>
                <w:szCs w:val="28"/>
              </w:rPr>
            </w:pPr>
            <w:r>
              <w:rPr>
                <w:rFonts w:ascii="华文中宋" w:hAnsi="华文中宋" w:eastAsia="华文中宋"/>
                <w:sz w:val="28"/>
                <w:szCs w:val="28"/>
              </w:rPr>
              <w:t>E-mail</w:t>
            </w:r>
          </w:p>
        </w:tc>
        <w:tc>
          <w:tcPr>
            <w:tcW w:w="4272" w:type="dxa"/>
            <w:gridSpan w:val="3"/>
            <w:vAlign w:val="center"/>
          </w:tcPr>
          <w:p>
            <w:pPr>
              <w:widowControl w:val="0"/>
              <w:autoSpaceDE w:val="0"/>
              <w:autoSpaceDN w:val="0"/>
              <w:adjustRightInd w:val="0"/>
              <w:spacing w:line="300" w:lineRule="exact"/>
              <w:jc w:val="center"/>
              <w:rPr>
                <w:rFonts w:ascii="华文中宋" w:hAnsi="华文中宋" w:eastAsia="华文中宋"/>
                <w:sz w:val="28"/>
                <w:szCs w:val="28"/>
              </w:rPr>
            </w:pPr>
            <w:r>
              <w:rPr>
                <w:rFonts w:hint="eastAsia" w:ascii="宋体" w:hAnsi="宋体" w:eastAsia="宋体"/>
                <w:sz w:val="24"/>
              </w:rPr>
              <w:t>zhangsong78522@126.com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1072" w:type="dxa"/>
            <w:vAlign w:val="center"/>
          </w:tcPr>
          <w:p>
            <w:pPr>
              <w:widowControl w:val="0"/>
              <w:spacing w:line="300" w:lineRule="exact"/>
              <w:jc w:val="center"/>
              <w:rPr>
                <w:rFonts w:ascii="华文中宋" w:hAnsi="华文中宋" w:eastAsia="华文中宋"/>
                <w:sz w:val="28"/>
                <w:szCs w:val="28"/>
              </w:rPr>
            </w:pPr>
            <w:r>
              <w:rPr>
                <w:rFonts w:hint="eastAsia" w:ascii="华文中宋" w:hAnsi="华文中宋" w:eastAsia="华文中宋"/>
                <w:sz w:val="28"/>
                <w:szCs w:val="28"/>
              </w:rPr>
              <w:t>地址</w:t>
            </w:r>
          </w:p>
        </w:tc>
        <w:tc>
          <w:tcPr>
            <w:tcW w:w="4511" w:type="dxa"/>
            <w:gridSpan w:val="4"/>
            <w:vAlign w:val="center"/>
          </w:tcPr>
          <w:p>
            <w:pPr>
              <w:widowControl w:val="0"/>
              <w:autoSpaceDE w:val="0"/>
              <w:autoSpaceDN w:val="0"/>
              <w:adjustRightInd w:val="0"/>
              <w:spacing w:line="300" w:lineRule="exact"/>
              <w:jc w:val="center"/>
              <w:rPr>
                <w:rFonts w:ascii="华文中宋" w:hAnsi="华文中宋" w:eastAsia="华文中宋"/>
                <w:sz w:val="28"/>
                <w:szCs w:val="28"/>
              </w:rPr>
            </w:pPr>
            <w:r>
              <w:rPr>
                <w:rFonts w:hint="eastAsia" w:ascii="宋体" w:hAnsi="宋体" w:eastAsia="宋体"/>
                <w:sz w:val="24"/>
              </w:rPr>
              <w:t>北京市宣武门西大街甲101号</w:t>
            </w:r>
          </w:p>
        </w:tc>
        <w:tc>
          <w:tcPr>
            <w:tcW w:w="875" w:type="dxa"/>
            <w:gridSpan w:val="2"/>
            <w:vAlign w:val="center"/>
          </w:tcPr>
          <w:p>
            <w:pPr>
              <w:widowControl w:val="0"/>
              <w:spacing w:line="300" w:lineRule="exact"/>
              <w:jc w:val="center"/>
              <w:rPr>
                <w:rFonts w:ascii="华文中宋" w:hAnsi="华文中宋" w:eastAsia="华文中宋"/>
                <w:sz w:val="28"/>
                <w:szCs w:val="28"/>
              </w:rPr>
            </w:pPr>
            <w:r>
              <w:rPr>
                <w:rFonts w:hint="eastAsia" w:ascii="华文中宋" w:hAnsi="华文中宋" w:eastAsia="华文中宋"/>
                <w:sz w:val="28"/>
                <w:szCs w:val="28"/>
              </w:rPr>
              <w:t>邮编</w:t>
            </w:r>
          </w:p>
        </w:tc>
        <w:tc>
          <w:tcPr>
            <w:tcW w:w="3397" w:type="dxa"/>
            <w:vAlign w:val="center"/>
          </w:tcPr>
          <w:p>
            <w:pPr>
              <w:widowControl w:val="0"/>
              <w:autoSpaceDE w:val="0"/>
              <w:autoSpaceDN w:val="0"/>
              <w:adjustRightInd w:val="0"/>
              <w:spacing w:line="300" w:lineRule="exact"/>
              <w:jc w:val="both"/>
              <w:rPr>
                <w:rFonts w:ascii="华文中宋" w:hAnsi="华文中宋" w:eastAsia="华文中宋"/>
                <w:sz w:val="28"/>
                <w:szCs w:val="28"/>
              </w:rPr>
            </w:pPr>
            <w:r>
              <w:rPr>
                <w:rFonts w:hint="eastAsia" w:ascii="宋体" w:hAnsi="宋体" w:eastAsia="宋体"/>
                <w:sz w:val="24"/>
              </w:rPr>
              <w:t>100031</w:t>
            </w:r>
          </w:p>
        </w:tc>
      </w:tr>
    </w:tbl>
    <w:p>
      <w:pPr>
        <w:widowControl w:val="0"/>
        <w:autoSpaceDE w:val="0"/>
        <w:autoSpaceDN w:val="0"/>
        <w:adjustRightInd w:val="0"/>
        <w:spacing w:line="420" w:lineRule="exact"/>
        <w:jc w:val="both"/>
        <w:rPr>
          <w:rFonts w:ascii="楷体" w:hAnsi="楷体" w:eastAsia="楷体"/>
          <w:b/>
          <w:bCs/>
          <w:sz w:val="28"/>
          <w:szCs w:val="28"/>
        </w:rPr>
      </w:pPr>
      <w:r>
        <w:rPr>
          <w:rFonts w:ascii="楷体" w:hAnsi="楷体" w:eastAsia="楷体"/>
          <w:sz w:val="24"/>
          <w:szCs w:val="24"/>
        </w:rPr>
        <w:br w:type="page"/>
      </w:r>
      <w:r>
        <w:rPr>
          <w:rFonts w:hint="eastAsia" w:ascii="楷体" w:hAnsi="楷体" w:eastAsia="楷体"/>
          <w:b/>
          <w:bCs/>
          <w:sz w:val="28"/>
          <w:szCs w:val="28"/>
        </w:rPr>
        <w:t xml:space="preserve">附件4 </w:t>
      </w: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9109" w:type="dxa"/>
        <w:tblInd w:w="-3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50"/>
        <w:gridCol w:w="7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50" w:type="dxa"/>
          </w:tcPr>
          <w:p>
            <w:pPr>
              <w:pStyle w:val="4"/>
              <w:spacing w:before="132"/>
              <w:ind w:left="261"/>
              <w:rPr>
                <w:rFonts w:ascii="华文中宋" w:eastAsia="华文中宋"/>
                <w:sz w:val="28"/>
              </w:rPr>
            </w:pPr>
            <w:r>
              <w:rPr>
                <w:rFonts w:hint="eastAsia" w:ascii="华文中宋" w:eastAsia="华文中宋"/>
                <w:sz w:val="28"/>
              </w:rPr>
              <w:t>作品标题</w:t>
            </w:r>
          </w:p>
        </w:tc>
        <w:tc>
          <w:tcPr>
            <w:tcW w:w="7459" w:type="dxa"/>
          </w:tcPr>
          <w:p>
            <w:pPr>
              <w:pStyle w:val="4"/>
              <w:jc w:val="center"/>
              <w:rPr>
                <w:rFonts w:ascii="Times New Roman"/>
                <w:sz w:val="30"/>
              </w:rPr>
            </w:pPr>
            <w:r>
              <w:rPr>
                <w:rFonts w:hint="eastAsia" w:ascii="宋体" w:hAnsi="宋体" w:eastAsia="宋体"/>
                <w:sz w:val="30"/>
                <w:lang w:eastAsia="zh-CN"/>
              </w:rPr>
              <w:t>银行业危机暴露美国治理困境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50" w:type="dxa"/>
          </w:tcPr>
          <w:p>
            <w:pPr>
              <w:pStyle w:val="4"/>
              <w:spacing w:before="132"/>
              <w:ind w:left="261"/>
              <w:rPr>
                <w:rFonts w:ascii="华文中宋" w:eastAsia="华文中宋"/>
                <w:sz w:val="28"/>
              </w:rPr>
            </w:pPr>
            <w:r>
              <w:rPr>
                <w:rFonts w:hint="eastAsia" w:ascii="华文中宋" w:eastAsia="华文中宋"/>
                <w:sz w:val="28"/>
              </w:rPr>
              <w:t>发表日期</w:t>
            </w:r>
            <w:bookmarkStart w:id="0" w:name="_GoBack"/>
            <w:bookmarkEnd w:id="0"/>
          </w:p>
        </w:tc>
        <w:tc>
          <w:tcPr>
            <w:tcW w:w="7459" w:type="dxa"/>
          </w:tcPr>
          <w:p>
            <w:pPr>
              <w:pStyle w:val="4"/>
              <w:tabs>
                <w:tab w:val="left" w:pos="1410"/>
                <w:tab w:val="left" w:pos="2250"/>
              </w:tabs>
              <w:spacing w:before="221"/>
              <w:ind w:left="10"/>
              <w:jc w:val="center"/>
              <w:rPr>
                <w:sz w:val="28"/>
              </w:rPr>
            </w:pPr>
            <w:r>
              <w:rPr>
                <w:sz w:val="28"/>
              </w:rPr>
              <w:t>202</w:t>
            </w:r>
            <w:r>
              <w:rPr>
                <w:rFonts w:hint="eastAsia"/>
                <w:sz w:val="28"/>
                <w:lang w:val="en-US"/>
              </w:rPr>
              <w:t>3</w:t>
            </w:r>
            <w:r>
              <w:rPr>
                <w:sz w:val="28"/>
              </w:rPr>
              <w:t>年</w:t>
            </w:r>
            <w:r>
              <w:rPr>
                <w:rFonts w:hint="eastAsia"/>
                <w:sz w:val="28"/>
                <w:lang w:val="en-US" w:eastAsia="zh-CN"/>
              </w:rPr>
              <w:t>3</w:t>
            </w:r>
            <w:r>
              <w:rPr>
                <w:sz w:val="28"/>
              </w:rPr>
              <w:t>月</w:t>
            </w:r>
            <w:r>
              <w:rPr>
                <w:rFonts w:hint="eastAsia"/>
                <w:sz w:val="28"/>
                <w:lang w:val="en-US" w:eastAsia="zh-CN"/>
              </w:rPr>
              <w:t>17</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650" w:type="dxa"/>
          </w:tcPr>
          <w:p>
            <w:pPr>
              <w:pStyle w:val="4"/>
              <w:spacing w:before="2"/>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459" w:type="dxa"/>
          </w:tcPr>
          <w:p>
            <w:pPr>
              <w:pStyle w:val="4"/>
              <w:autoSpaceDE/>
              <w:autoSpaceDN/>
              <w:ind w:firstLine="600" w:firstLineChars="200"/>
              <w:rPr>
                <w:rFonts w:hint="eastAsia" w:ascii="Times New Roman" w:eastAsia="宋体" w:hAnsiTheme="minorHAnsi" w:cstheme="minorBidi"/>
                <w:kern w:val="0"/>
                <w:sz w:val="30"/>
                <w:szCs w:val="22"/>
                <w:lang w:val="en-US" w:eastAsia="zh-CN" w:bidi="ar-SA"/>
              </w:rPr>
            </w:pPr>
            <w:r>
              <w:rPr>
                <w:rFonts w:hint="eastAsia" w:ascii="Times New Roman" w:eastAsia="宋体" w:hAnsiTheme="minorHAnsi" w:cstheme="minorBidi"/>
                <w:kern w:val="0"/>
                <w:sz w:val="30"/>
                <w:szCs w:val="22"/>
                <w:lang w:val="en-US" w:eastAsia="zh-CN" w:bidi="ar-SA"/>
              </w:rPr>
              <w:t>针对美国三家银行陷入危机的热点事件，在大量媒体仍在报道时间进程之际，稿件反映迅速，进行深度分析，时效性强。稿件去繁就简，以白话手法表达专业、深度题材，标题一针见血，有效拉近与受众的距离，改善了严肃财经报道题材的传播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650" w:type="dxa"/>
          </w:tcPr>
          <w:p>
            <w:pPr>
              <w:pStyle w:val="4"/>
              <w:spacing w:before="15"/>
              <w:jc w:val="center"/>
              <w:rPr>
                <w:rFonts w:ascii="华文中宋"/>
                <w:sz w:val="31"/>
              </w:rPr>
            </w:pPr>
          </w:p>
          <w:p>
            <w:pPr>
              <w:pStyle w:val="4"/>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459" w:type="dxa"/>
          </w:tcPr>
          <w:p>
            <w:pPr>
              <w:pStyle w:val="4"/>
              <w:autoSpaceDE/>
              <w:autoSpaceDN/>
              <w:ind w:firstLine="600" w:firstLineChars="200"/>
              <w:rPr>
                <w:rFonts w:hint="eastAsia" w:ascii="Times New Roman" w:eastAsia="宋体" w:hAnsiTheme="minorHAnsi" w:cstheme="minorBidi"/>
                <w:kern w:val="0"/>
                <w:sz w:val="30"/>
                <w:szCs w:val="22"/>
                <w:lang w:val="en-US" w:eastAsia="zh-CN" w:bidi="ar-SA"/>
              </w:rPr>
            </w:pPr>
            <w:r>
              <w:rPr>
                <w:rFonts w:hint="eastAsia" w:ascii="Times New Roman" w:eastAsia="宋体" w:hAnsiTheme="minorHAnsi" w:cstheme="minorBidi"/>
                <w:kern w:val="0"/>
                <w:sz w:val="30"/>
                <w:szCs w:val="22"/>
                <w:lang w:val="en-US" w:eastAsia="zh-CN" w:bidi="ar-SA"/>
              </w:rPr>
              <w:t>美国银行业危机爆发后，作者第一时间搜集资料，进行分析。结合对美国经济的长期跟踪，稿件敏锐提出，指出正是美国先无限放水后激进紧缩的政策操弄，让美元资产信用、产业政策等多方面陷入治理危机，从根本上加剧了美债危机和美元霸权危机。稿件盘点了过去三年美国在财政货币政策的关键节点，由表及里深入探讨、系统分析，指出银行业危机背后是美国多重弊政合力制造的恶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4" w:hRule="atLeast"/>
        </w:trPr>
        <w:tc>
          <w:tcPr>
            <w:tcW w:w="1650" w:type="dxa"/>
          </w:tcPr>
          <w:p>
            <w:pPr>
              <w:pStyle w:val="4"/>
              <w:spacing w:line="216" w:lineRule="auto"/>
              <w:ind w:left="345" w:right="331"/>
              <w:jc w:val="center"/>
              <w:rPr>
                <w:rFonts w:ascii="华文中宋" w:eastAsia="华文中宋"/>
                <w:sz w:val="28"/>
              </w:rPr>
            </w:pPr>
            <w:r>
              <w:rPr>
                <w:rFonts w:hint="eastAsia" w:ascii="华文中宋" w:eastAsia="华文中宋"/>
                <w:sz w:val="28"/>
              </w:rPr>
              <w:t>社会</w:t>
            </w:r>
          </w:p>
          <w:p>
            <w:pPr>
              <w:pStyle w:val="4"/>
              <w:spacing w:line="216" w:lineRule="auto"/>
              <w:ind w:left="345" w:right="331"/>
              <w:jc w:val="center"/>
              <w:rPr>
                <w:rFonts w:ascii="华文中宋" w:eastAsia="华文中宋"/>
                <w:sz w:val="28"/>
              </w:rPr>
            </w:pPr>
            <w:r>
              <w:rPr>
                <w:rFonts w:hint="eastAsia" w:ascii="华文中宋" w:eastAsia="华文中宋"/>
                <w:sz w:val="28"/>
              </w:rPr>
              <w:t>效果</w:t>
            </w:r>
          </w:p>
        </w:tc>
        <w:tc>
          <w:tcPr>
            <w:tcW w:w="7459" w:type="dxa"/>
          </w:tcPr>
          <w:p>
            <w:pPr>
              <w:pStyle w:val="4"/>
              <w:ind w:firstLine="600" w:firstLineChars="200"/>
              <w:rPr>
                <w:rFonts w:ascii="Times New Roman"/>
                <w:sz w:val="30"/>
              </w:rPr>
            </w:pPr>
            <w:r>
              <w:rPr>
                <w:rFonts w:hint="eastAsia" w:ascii="Times New Roman" w:eastAsia="宋体"/>
                <w:sz w:val="30"/>
                <w:lang w:val="en-US" w:eastAsia="zh-CN"/>
              </w:rPr>
              <w:t>报道直击美国</w:t>
            </w:r>
            <w:r>
              <w:rPr>
                <w:rFonts w:hint="eastAsia" w:ascii="宋体" w:hAnsi="宋体" w:eastAsia="宋体"/>
                <w:sz w:val="30"/>
                <w:lang w:eastAsia="zh-CN"/>
              </w:rPr>
              <w:t>银行业危机</w:t>
            </w:r>
            <w:r>
              <w:rPr>
                <w:rFonts w:hint="eastAsia" w:ascii="宋体" w:hAnsi="宋体" w:eastAsia="宋体"/>
                <w:sz w:val="30"/>
                <w:lang w:val="en-US" w:eastAsia="zh-CN"/>
              </w:rPr>
              <w:t>本质，取得良好反响。</w:t>
            </w:r>
            <w:r>
              <w:rPr>
                <w:rFonts w:hint="eastAsia" w:ascii="Times New Roman" w:eastAsia="宋体"/>
                <w:sz w:val="30"/>
                <w:lang w:eastAsia="zh-CN"/>
              </w:rPr>
              <w:t>在大量相关题材新闻消息稿件充斥的情况下，新华社客户端浏览量达64.7万。</w:t>
            </w:r>
          </w:p>
        </w:tc>
      </w:tr>
    </w:tbl>
    <w:p>
      <w:pPr>
        <w:widowControl w:val="0"/>
        <w:rPr>
          <w:rFonts w:hint="eastAsia" w:ascii="楷体" w:hAnsi="楷体" w:eastAsia="楷体"/>
          <w:sz w:val="28"/>
        </w:rPr>
      </w:pPr>
      <w:r>
        <w:rPr>
          <w:rFonts w:hint="eastAsia" w:ascii="楷体" w:hAnsi="楷体" w:eastAsia="楷体"/>
          <w:sz w:val="28"/>
        </w:rPr>
        <w:t>此表可从中国记协网www.zgjx.cn下载，上、下半年代表作前各附1张。</w:t>
      </w:r>
    </w:p>
    <w:p>
      <w:pPr>
        <w:autoSpaceDE w:val="0"/>
        <w:autoSpaceDN w:val="0"/>
        <w:adjustRightInd w:val="0"/>
        <w:spacing w:line="420" w:lineRule="exact"/>
        <w:jc w:val="center"/>
        <w:rPr>
          <w:rFonts w:ascii="宋体" w:hAnsi="宋体" w:eastAsia="宋体" w:cs="楷体"/>
          <w:b/>
          <w:bCs/>
          <w:kern w:val="0"/>
          <w:sz w:val="28"/>
          <w:szCs w:val="28"/>
        </w:rPr>
      </w:pPr>
      <w:r>
        <w:rPr>
          <w:rFonts w:hint="eastAsia" w:ascii="宋体" w:hAnsi="宋体" w:eastAsia="宋体"/>
          <w:sz w:val="28"/>
          <w:szCs w:val="28"/>
        </w:rPr>
        <w:t>银行业危机暴露美国治理困境</w:t>
      </w:r>
    </w:p>
    <w:p>
      <w:pPr>
        <w:widowControl/>
        <w:shd w:val="clear" w:color="auto" w:fill="FFFFFF"/>
        <w:spacing w:before="100" w:beforeAutospacing="1" w:after="100" w:afterAutospacing="1"/>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□傅云威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短短5天内，美国三家银行陷入危机，虽其业务重点不同，客户群体各异，却都是美国多重弊政合力制造的恶果，暴露了美国在财政货币政策、美元资产信用、产业政策等多方面均已陷入治理危机。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过去几年，美联储急刹车、猛拐弯，使货币政策经历由超级宽松到超级紧缩的戏剧化过程，埋下了危机的种子。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2020年美联储实施“无上限”量化宽松，配合美国政府推出大规模刺激计划，结果导致通胀高企。为遏制通胀，自去年3月至今年1月，美联储共加息8次，累计450个基点。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其结果是，在资产端，美国各类金融机构低利率下加杠杆购入的美债等资产，在高利率条件下开始出现账面亏损。更糟糕的是，在流动性趋紧背景下，银行被迫提前抛售这些资产并承担实际亏损。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在负债端，储户在经济预期不佳背景下，加速提现，从而不断恶化银行流动性，最终引发兑付危机。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目前摆在美国货币政策和监管部门面前的有两类政策悖论。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其一是如果继续加息，可能导致更多银行发生兑付危机；而如果暂缓加息，则高企的通胀可能失控。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其二是如果当局对相关银行展开大规模救助，则相关措施将与美联储时下的紧缩政策势必产生彼此抵消的效果；如果拒不救助，则可能发生连锁反应。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对待本轮危机，美金融监管当局目前救助措施仅限于帮助储户顺利提现，而不会用于救助机构。然而，一旦危机在金融系统发生大面积“传染”，机构救助问题势必重新摆上桌面。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本轮美国银行业危机也令人反思“美元资产安全性”悖论。正是这些长期被视为避险资产的美国国债和机构债等所谓安全资产债券，才让硅谷银行等投资者陷入困境，成为风险之源。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当前，美国激进加息导致美债收益率曲线深度倒挂，2年期国债收益率与10年期国债收益率的倒挂幅度创下40年来最大，持有大量美债的机构蒙受了巨额账面损失。那些迫于流动性压力而提前抛售债券的机构，不得不吞下“浮亏”变“实亏”的苦果。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具有戏剧性的是，本轮危机爆发后，美国2年期国债受到热烈追捧，收益率两天内下跌了48个基点。这说明，在恐慌情绪支配下，缺乏避险投资选择的投资者，再度选择增持作为“避险资产”的美债。 </w:t>
      </w:r>
    </w:p>
    <w:p>
      <w:pPr>
        <w:widowControl/>
        <w:shd w:val="clear" w:color="auto" w:fill="FFFFFF"/>
        <w:spacing w:before="100" w:beforeAutospacing="1" w:after="100" w:afterAutospacing="1"/>
        <w:ind w:firstLine="560" w:firstLineChars="200"/>
        <w:jc w:val="left"/>
        <w:textAlignment w:val="baseline"/>
        <w:rPr>
          <w:rFonts w:ascii="宋体" w:hAnsi="宋体" w:eastAsia="宋体" w:cs="宋体"/>
          <w:color w:val="000000"/>
          <w:kern w:val="0"/>
          <w:sz w:val="28"/>
          <w:szCs w:val="28"/>
        </w:rPr>
      </w:pPr>
      <w:r>
        <w:rPr>
          <w:rFonts w:hint="eastAsia" w:ascii="宋体" w:hAnsi="宋体" w:eastAsia="宋体" w:cs="宋体"/>
          <w:color w:val="000000"/>
          <w:kern w:val="0"/>
          <w:sz w:val="28"/>
          <w:szCs w:val="28"/>
        </w:rPr>
        <w:t>本轮银行业危机的显著影响还在于其对美国风投行业和初创企业的巨大冲击。据业内人士估计，近半数美国风险投资支持的初创企业以及44%去年上市的美国风险投资支持的技术和医疗保健公司，与硅谷银行有业务往来。鉴于美国近年来滥用“国家安全”概念，大搞科技脱钩政策，前期已限制了风投行业吸纳全球资金的能力，压制了某些科创企业的估值水平和发展机会。硅谷银行倒闭显然是雪上加霜。如果再叠加美国经济衰退等负面因素，本次事件甚至会弱化美元基金在全球创投领域的话语权和盈利水平，或有损美国科技创新能力，产生改变全球科创版图的蝴蝶效应。（完）</w:t>
      </w: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rPr>
          <w:rFonts w:hint="eastAsia" w:ascii="楷体" w:hAnsi="楷体" w:eastAsia="楷体"/>
          <w:sz w:val="28"/>
        </w:rPr>
      </w:pPr>
    </w:p>
    <w:p>
      <w:pPr>
        <w:widowControl w:val="0"/>
        <w:autoSpaceDE w:val="0"/>
        <w:autoSpaceDN w:val="0"/>
        <w:adjustRightInd w:val="0"/>
        <w:spacing w:line="420" w:lineRule="exact"/>
        <w:jc w:val="both"/>
        <w:rPr>
          <w:rFonts w:ascii="楷体" w:hAnsi="楷体" w:eastAsia="楷体"/>
          <w:b/>
          <w:bCs/>
          <w:sz w:val="28"/>
          <w:szCs w:val="28"/>
        </w:rPr>
      </w:pPr>
      <w:r>
        <w:rPr>
          <w:rFonts w:hint="eastAsia" w:ascii="楷体" w:hAnsi="楷体" w:eastAsia="楷体"/>
          <w:b/>
          <w:bCs/>
          <w:sz w:val="28"/>
          <w:szCs w:val="28"/>
        </w:rPr>
        <w:t xml:space="preserve">附件4 </w:t>
      </w: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8864" w:type="dxa"/>
        <w:tblInd w:w="-30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37"/>
        <w:gridCol w:w="72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37" w:type="dxa"/>
          </w:tcPr>
          <w:p>
            <w:pPr>
              <w:pStyle w:val="4"/>
              <w:spacing w:before="132"/>
              <w:ind w:left="261"/>
              <w:rPr>
                <w:rFonts w:ascii="华文中宋" w:eastAsia="华文中宋"/>
                <w:sz w:val="28"/>
              </w:rPr>
            </w:pPr>
            <w:r>
              <w:rPr>
                <w:rFonts w:hint="eastAsia" w:ascii="华文中宋" w:eastAsia="华文中宋"/>
                <w:sz w:val="28"/>
              </w:rPr>
              <w:t>作品标题</w:t>
            </w:r>
          </w:p>
        </w:tc>
        <w:tc>
          <w:tcPr>
            <w:tcW w:w="7227" w:type="dxa"/>
          </w:tcPr>
          <w:p>
            <w:pPr>
              <w:pStyle w:val="4"/>
              <w:jc w:val="center"/>
              <w:rPr>
                <w:rFonts w:ascii="Times New Roman"/>
                <w:sz w:val="30"/>
              </w:rPr>
            </w:pPr>
            <w:r>
              <w:rPr>
                <w:rFonts w:hint="eastAsia" w:ascii="宋体" w:hAnsi="宋体" w:eastAsia="宋体"/>
                <w:sz w:val="30"/>
                <w:lang w:eastAsia="zh-CN"/>
              </w:rPr>
              <w:t>法国以再工业化推动经济增长模式变革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637" w:type="dxa"/>
          </w:tcPr>
          <w:p>
            <w:pPr>
              <w:pStyle w:val="4"/>
              <w:spacing w:before="132"/>
              <w:ind w:left="261"/>
              <w:rPr>
                <w:rFonts w:ascii="华文中宋" w:eastAsia="华文中宋"/>
                <w:sz w:val="28"/>
              </w:rPr>
            </w:pPr>
            <w:r>
              <w:rPr>
                <w:rFonts w:hint="eastAsia" w:ascii="华文中宋" w:eastAsia="华文中宋"/>
                <w:sz w:val="28"/>
              </w:rPr>
              <w:t>发表日期</w:t>
            </w:r>
          </w:p>
        </w:tc>
        <w:tc>
          <w:tcPr>
            <w:tcW w:w="7227" w:type="dxa"/>
          </w:tcPr>
          <w:p>
            <w:pPr>
              <w:pStyle w:val="4"/>
              <w:tabs>
                <w:tab w:val="left" w:pos="1410"/>
                <w:tab w:val="left" w:pos="2250"/>
              </w:tabs>
              <w:spacing w:before="221"/>
              <w:ind w:left="10"/>
              <w:jc w:val="center"/>
              <w:rPr>
                <w:sz w:val="28"/>
              </w:rPr>
            </w:pPr>
            <w:r>
              <w:rPr>
                <w:sz w:val="28"/>
              </w:rPr>
              <w:t>202</w:t>
            </w:r>
            <w:r>
              <w:rPr>
                <w:rFonts w:hint="eastAsia"/>
                <w:sz w:val="28"/>
                <w:lang w:val="en-US"/>
              </w:rPr>
              <w:t>3</w:t>
            </w:r>
            <w:r>
              <w:rPr>
                <w:sz w:val="28"/>
              </w:rPr>
              <w:t>年</w:t>
            </w:r>
            <w:r>
              <w:rPr>
                <w:rFonts w:hint="eastAsia"/>
                <w:sz w:val="28"/>
                <w:lang w:val="en-US" w:eastAsia="zh-CN"/>
              </w:rPr>
              <w:t>7</w:t>
            </w:r>
            <w:r>
              <w:rPr>
                <w:sz w:val="28"/>
              </w:rPr>
              <w:t>月</w:t>
            </w:r>
            <w:r>
              <w:rPr>
                <w:rFonts w:hint="eastAsia"/>
                <w:sz w:val="28"/>
                <w:lang w:val="en-US" w:eastAsia="zh-CN"/>
              </w:rPr>
              <w:t>6</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637" w:type="dxa"/>
          </w:tcPr>
          <w:p>
            <w:pPr>
              <w:pStyle w:val="4"/>
              <w:spacing w:before="2"/>
              <w:jc w:val="center"/>
              <w:rPr>
                <w:rFonts w:ascii="华文中宋"/>
                <w:sz w:val="32"/>
              </w:rPr>
            </w:pPr>
          </w:p>
          <w:p>
            <w:pPr>
              <w:pStyle w:val="4"/>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227" w:type="dxa"/>
          </w:tcPr>
          <w:p>
            <w:pPr>
              <w:pStyle w:val="4"/>
              <w:ind w:firstLine="600" w:firstLineChars="200"/>
              <w:rPr>
                <w:rFonts w:ascii="Times New Roman"/>
                <w:sz w:val="30"/>
              </w:rPr>
            </w:pPr>
            <w:r>
              <w:rPr>
                <w:rFonts w:hint="eastAsia" w:ascii="宋体" w:hAnsi="宋体" w:eastAsia="宋体"/>
                <w:sz w:val="30"/>
                <w:lang w:eastAsia="zh-CN"/>
              </w:rPr>
              <w:t>稿件内容精炼，逻辑清晰，文字流畅有新意。开篇用法国经济部长略带文艺腔的表述带出主题, 避开经济类报道常见的专业用语，使文章更具可读性。文中数次用法国媒体的“翻译腔”表述，既提供新的信息，又帮助行文推进。</w:t>
            </w:r>
            <w:r>
              <w:rPr>
                <w:rFonts w:hint="eastAsia" w:ascii="宋体" w:hAnsi="宋体" w:eastAsia="宋体"/>
                <w:sz w:val="30"/>
              </w:rPr>
              <w:t>结尾呼应篇首引语</w:t>
            </w:r>
            <w:r>
              <w:rPr>
                <w:rFonts w:hint="eastAsia" w:ascii="宋体" w:hAnsi="宋体" w:eastAsia="宋体"/>
                <w:sz w:val="30"/>
                <w:lang w:eastAsia="zh-CN"/>
              </w:rPr>
              <w:t>，</w:t>
            </w:r>
            <w:r>
              <w:rPr>
                <w:rFonts w:hint="eastAsia" w:ascii="宋体" w:hAnsi="宋体" w:eastAsia="宋体"/>
                <w:sz w:val="30"/>
              </w:rPr>
              <w:t>自然总结全文大意。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5" w:hRule="atLeast"/>
        </w:trPr>
        <w:tc>
          <w:tcPr>
            <w:tcW w:w="1637" w:type="dxa"/>
          </w:tcPr>
          <w:p>
            <w:pPr>
              <w:pStyle w:val="4"/>
              <w:spacing w:before="15"/>
              <w:jc w:val="center"/>
              <w:rPr>
                <w:rFonts w:ascii="华文中宋"/>
                <w:sz w:val="31"/>
              </w:rPr>
            </w:pPr>
          </w:p>
          <w:p>
            <w:pPr>
              <w:pStyle w:val="4"/>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227" w:type="dxa"/>
          </w:tcPr>
          <w:p>
            <w:pPr>
              <w:pStyle w:val="4"/>
              <w:ind w:firstLine="600" w:firstLineChars="200"/>
              <w:rPr>
                <w:rFonts w:ascii="Times New Roman"/>
                <w:sz w:val="30"/>
              </w:rPr>
            </w:pPr>
            <w:r>
              <w:rPr>
                <w:rFonts w:hint="eastAsia" w:ascii="宋体" w:hAnsi="宋体" w:eastAsia="宋体"/>
                <w:sz w:val="30"/>
                <w:lang w:eastAsia="zh-CN"/>
              </w:rPr>
              <w:t>基于绿色转型、数字转型的再工业化战略，是法国近年经济工作的重点，也是欧洲经济未来走向的看点。记者多年跟踪法国去工业化造成的问题、再工业化战略提出的背景、落实过程中的节点性进展，研读政府、议会重要文件以及法国专业人士的分析，也接触重点行业的重点企业，逐步形成对法国宏观经济状况、政策意图及预期效果的基本判断，稿件从大量资料中高度提炼，就法国再工业化战略进行了介绍和评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637" w:type="dxa"/>
          </w:tcPr>
          <w:p>
            <w:pPr>
              <w:pStyle w:val="4"/>
              <w:spacing w:line="216" w:lineRule="auto"/>
              <w:ind w:left="345" w:right="331"/>
              <w:jc w:val="center"/>
              <w:rPr>
                <w:rFonts w:ascii="华文中宋" w:eastAsia="华文中宋"/>
                <w:sz w:val="28"/>
              </w:rPr>
            </w:pPr>
            <w:r>
              <w:rPr>
                <w:rFonts w:hint="eastAsia" w:ascii="华文中宋" w:eastAsia="华文中宋"/>
                <w:sz w:val="28"/>
              </w:rPr>
              <w:t>社会</w:t>
            </w:r>
          </w:p>
          <w:p>
            <w:pPr>
              <w:pStyle w:val="4"/>
              <w:spacing w:line="216" w:lineRule="auto"/>
              <w:ind w:left="345" w:right="331"/>
              <w:jc w:val="center"/>
              <w:rPr>
                <w:rFonts w:ascii="华文中宋" w:eastAsia="华文中宋"/>
                <w:sz w:val="28"/>
              </w:rPr>
            </w:pPr>
            <w:r>
              <w:rPr>
                <w:rFonts w:hint="eastAsia" w:ascii="华文中宋" w:eastAsia="华文中宋"/>
                <w:sz w:val="28"/>
              </w:rPr>
              <w:t>效果</w:t>
            </w:r>
          </w:p>
        </w:tc>
        <w:tc>
          <w:tcPr>
            <w:tcW w:w="7227" w:type="dxa"/>
          </w:tcPr>
          <w:p>
            <w:pPr>
              <w:pStyle w:val="4"/>
              <w:ind w:firstLine="600" w:firstLineChars="200"/>
              <w:rPr>
                <w:rFonts w:ascii="Times New Roman"/>
                <w:sz w:val="30"/>
              </w:rPr>
            </w:pPr>
            <w:r>
              <w:rPr>
                <w:rFonts w:hint="eastAsia" w:ascii="宋体" w:hAnsi="宋体" w:eastAsia="宋体"/>
                <w:sz w:val="30"/>
                <w:lang w:eastAsia="zh-CN"/>
              </w:rPr>
              <w:t>稿件专业度较高，</w:t>
            </w:r>
            <w:r>
              <w:rPr>
                <w:rFonts w:hint="eastAsia" w:ascii="宋体" w:hAnsi="宋体" w:eastAsia="宋体"/>
                <w:sz w:val="30"/>
                <w:lang w:val="en-US" w:eastAsia="zh-CN"/>
              </w:rPr>
              <w:t>借鉴性强，取得良好反响。</w:t>
            </w:r>
            <w:r>
              <w:rPr>
                <w:rFonts w:hint="eastAsia" w:ascii="宋体" w:hAnsi="宋体" w:eastAsia="宋体"/>
                <w:sz w:val="30"/>
                <w:lang w:eastAsia="zh-CN"/>
              </w:rPr>
              <w:t>新华社客户端浏览量仍达到43.5万。</w:t>
            </w:r>
          </w:p>
        </w:tc>
      </w:tr>
    </w:tbl>
    <w:p>
      <w:pPr>
        <w:widowControl w:val="0"/>
        <w:rPr>
          <w:rFonts w:hint="eastAsia" w:ascii="楷体" w:hAnsi="楷体" w:eastAsia="楷体"/>
          <w:sz w:val="28"/>
        </w:rPr>
      </w:pPr>
      <w:r>
        <w:rPr>
          <w:rFonts w:hint="eastAsia" w:ascii="楷体" w:hAnsi="楷体" w:eastAsia="楷体"/>
          <w:sz w:val="28"/>
        </w:rPr>
        <w:t>此表可从中国记协网www.zgjx.cn下载，上、下半年代表作前各附1张。</w:t>
      </w:r>
    </w:p>
    <w:p>
      <w:pPr>
        <w:widowControl/>
        <w:shd w:val="clear" w:color="auto" w:fill="FFFFFF"/>
        <w:spacing w:before="100" w:beforeAutospacing="1" w:after="100" w:afterAutospacing="1"/>
        <w:jc w:val="center"/>
        <w:textAlignment w:val="baseline"/>
        <w:rPr>
          <w:rFonts w:ascii="宋体" w:hAnsi="宋体" w:eastAsia="宋体" w:cs="宋体"/>
          <w:color w:val="000000"/>
          <w:kern w:val="0"/>
          <w:sz w:val="32"/>
          <w:szCs w:val="32"/>
        </w:rPr>
      </w:pPr>
      <w:r>
        <w:rPr>
          <w:rFonts w:hint="eastAsia" w:ascii="宋体" w:hAnsi="宋体" w:eastAsia="宋体"/>
          <w:sz w:val="30"/>
        </w:rPr>
        <w:t>法国以再工业化推动经济增长模式变革</w:t>
      </w:r>
    </w:p>
    <w:p>
      <w:pPr>
        <w:widowControl/>
        <w:shd w:val="clear" w:color="auto" w:fill="FFFFFF"/>
        <w:spacing w:before="100" w:beforeAutospacing="1" w:after="100" w:afterAutospacing="1"/>
        <w:jc w:val="left"/>
        <w:textAlignment w:val="baseline"/>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□刘芳 </w:t>
      </w:r>
    </w:p>
    <w:p>
      <w:pPr>
        <w:widowControl/>
        <w:shd w:val="clear" w:color="auto" w:fill="FFFFFF"/>
        <w:spacing w:before="100" w:beforeAutospacing="1" w:after="100" w:afterAutospacing="1"/>
        <w:ind w:firstLine="640" w:firstLineChars="200"/>
        <w:jc w:val="left"/>
        <w:textAlignment w:val="baseline"/>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再工业化，是法国上上下下已经达成的共识。法国经济部长勒梅尔在议会的《绿色产业法案》听证会上曾作出如下表述：“‘光荣30年’之后的40多年间，法国背叛了她的工人阶级文化，背叛了她的工业才华，背叛了她对进步、技术革新和制造业的重视。如今，我们已经完成意识形态革命，正在告别去工业化，开创一个法国和欧洲再工业化的新时代。” </w:t>
      </w:r>
    </w:p>
    <w:p>
      <w:pPr>
        <w:widowControl/>
        <w:shd w:val="clear" w:color="auto" w:fill="FFFFFF"/>
        <w:spacing w:before="100" w:beforeAutospacing="1" w:after="100" w:afterAutospacing="1"/>
        <w:ind w:firstLine="640" w:firstLineChars="200"/>
        <w:jc w:val="left"/>
        <w:textAlignment w:val="baseline"/>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二战后，得益于国家干预经济的模式和国家力量主导发展的产业政策，法国工业化建设突飞猛进，工业力量在上世纪70年代一度位居全球前列。此后，受“后工业化社会”理论影响，法国着力于发展高附加值的服务业，工业生产中附加值低的环节逐渐迁往低成本地区。政府放弃中长期计划制定，经济及产业政策缺乏战略目标和长远规划布局。到了80年代，国有企业私有化加速，政府失去对产业的控制权和主导权。90年代中期，随着全球化加速发展，法国工业企业外迁进程显著加快，国际竞争力进一步下降。 </w:t>
      </w:r>
    </w:p>
    <w:p>
      <w:pPr>
        <w:widowControl/>
        <w:shd w:val="clear" w:color="auto" w:fill="FFFFFF"/>
        <w:spacing w:before="100" w:beforeAutospacing="1" w:after="100" w:afterAutospacing="1"/>
        <w:ind w:firstLine="640" w:firstLineChars="200"/>
        <w:jc w:val="left"/>
        <w:textAlignment w:val="baseline"/>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自本世纪初以来，产业空心化的经济弊端和社会后果愈发明显，法国历届政府都试图推进再工业化。在奥朗德担任总统时的经济部长马克龙曾力推“未来工业”计划，主张引入现代化工业生态体系，辅以数字技术为支撑，实现经济增长模式的根本性变革。2017年当选总统后，马克龙力推资本税和劳动法改革，为法国吸引产业投资创造条件。 </w:t>
      </w:r>
    </w:p>
    <w:p>
      <w:pPr>
        <w:widowControl/>
        <w:shd w:val="clear" w:color="auto" w:fill="FFFFFF"/>
        <w:spacing w:before="100" w:beforeAutospacing="1" w:after="100" w:afterAutospacing="1"/>
        <w:ind w:firstLine="640" w:firstLineChars="200"/>
        <w:jc w:val="left"/>
        <w:textAlignment w:val="baseline"/>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近年来，面对新冠疫情和乌克兰危机带来的国际形势变化，马克龙更是将再工业化提升到经济主权的高度，提出基于科技创新和绿色转型的产业发展目标，明确了国家干预经济的方针。2021年10月，“法国2030”投资计划发布。法国媒体称，“再工业化已是法国关键主题，甚至可以构成新国家叙事的拱顶石。” </w:t>
      </w:r>
    </w:p>
    <w:p>
      <w:pPr>
        <w:widowControl/>
        <w:shd w:val="clear" w:color="auto" w:fill="FFFFFF"/>
        <w:spacing w:before="100" w:beforeAutospacing="1" w:after="100" w:afterAutospacing="1"/>
        <w:ind w:firstLine="640" w:firstLineChars="200"/>
        <w:jc w:val="left"/>
        <w:textAlignment w:val="baseline"/>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法国2030”计划涉及人工智能、半导体、农业技术、绿色工业、氢能源、低碳飞机、核电、太空等领域，旨在打造能与中国和美国竞争的法国企业巨头，扭转法国颓势。该计划公共投资总计540亿欧元，以全国性和地方性项目征集和招标的方式执行，即政府出“小钱”，帮助孵化有竞争力和变革性的新技术，以撬动更多公共和私营资本的“大钱”落实具体项目。 </w:t>
      </w:r>
    </w:p>
    <w:p>
      <w:pPr>
        <w:widowControl/>
        <w:shd w:val="clear" w:color="auto" w:fill="FFFFFF"/>
        <w:spacing w:before="100" w:beforeAutospacing="1" w:after="100" w:afterAutospacing="1"/>
        <w:ind w:firstLine="640" w:firstLineChars="200"/>
        <w:jc w:val="left"/>
        <w:textAlignment w:val="baseline"/>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一年多来，“法国2030”计划各领域规划陆续出台，项目征集与招标有序推进。最近几个月，投资52亿欧元的固态电池厂、投资75亿欧元的半导体厂等大型项目先后落地，均被法国媒体视作再工业化“良性循环已经开始”的象征。法国《回声报》说，这些重大项目照亮了再工业化之路。 </w:t>
      </w:r>
    </w:p>
    <w:p>
      <w:pPr>
        <w:widowControl w:val="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绿色产业法案”在此背景下出台。该法案以提供税收抵免、保障工业工地、简化行政手续等具体措施吸引投资者前来法国建厂，同时设立“欧洲卓越环境标签”保护本土制造，调动私人储蓄资助绿色产业，是法国稳步推进再工业化的又一重要行动。这表明法国政府已进一步细化配套措施，加强对关键技术本土投资的支持和保护。用勒梅尔的话说，法国还要进行一场革命，才能恢复经济独立，赢取出口市场，重新成为工业强国。 （完）</w:t>
      </w: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rPr>
          <w:rFonts w:hint="eastAsia" w:ascii="宋体" w:hAnsi="宋体" w:eastAsia="宋体" w:cs="宋体"/>
          <w:color w:val="000000"/>
          <w:kern w:val="0"/>
          <w:sz w:val="32"/>
          <w:szCs w:val="32"/>
        </w:rPr>
      </w:pPr>
    </w:p>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hAnsi="楷体" w:eastAsia="楷体"/>
          <w:b/>
          <w:bCs/>
          <w:sz w:val="28"/>
          <w:szCs w:val="28"/>
        </w:rPr>
        <w:t>附件5</w:t>
      </w:r>
      <w:r>
        <w:rPr>
          <w:rFonts w:hint="eastAsia" w:ascii="仿宋_GB2312" w:hAnsi="仿宋" w:eastAsia="仿宋_GB2312" w:cs="华文中宋"/>
          <w:sz w:val="24"/>
          <w:szCs w:val="24"/>
        </w:rPr>
        <w:t xml:space="preserve">  </w:t>
      </w:r>
    </w:p>
    <w:p>
      <w:pPr>
        <w:widowControl w:val="0"/>
        <w:autoSpaceDE w:val="0"/>
        <w:autoSpaceDN w:val="0"/>
        <w:adjustRightInd w:val="0"/>
        <w:spacing w:line="420" w:lineRule="exact"/>
        <w:jc w:val="both"/>
        <w:rPr>
          <w:rFonts w:ascii="仿宋_GB2312" w:hAnsi="仿宋" w:eastAsia="仿宋_GB2312" w:cs="华文中宋"/>
          <w:sz w:val="24"/>
          <w:szCs w:val="24"/>
        </w:rPr>
      </w:pPr>
    </w:p>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2023年每月第二周刊载作品目录</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2"/>
        <w:tblW w:w="96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15"/>
        <w:gridCol w:w="647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11"/>
              <w:jc w:val="right"/>
              <w:rPr>
                <w:rFonts w:ascii="华文中宋" w:eastAsia="华文中宋"/>
                <w:sz w:val="28"/>
              </w:rPr>
            </w:pPr>
            <w:r>
              <w:rPr>
                <w:rFonts w:hint="eastAsia" w:ascii="华文中宋" w:eastAsia="华文中宋"/>
                <w:sz w:val="28"/>
              </w:rPr>
              <w:t>月份</w:t>
            </w:r>
          </w:p>
        </w:tc>
        <w:tc>
          <w:tcPr>
            <w:tcW w:w="6479" w:type="dxa"/>
          </w:tcPr>
          <w:p>
            <w:pPr>
              <w:pStyle w:val="4"/>
              <w:tabs>
                <w:tab w:val="left" w:pos="845"/>
              </w:tabs>
              <w:spacing w:before="132"/>
              <w:ind w:left="8"/>
              <w:jc w:val="center"/>
              <w:rPr>
                <w:rFonts w:ascii="华文中宋" w:eastAsia="华文中宋"/>
                <w:sz w:val="28"/>
              </w:rPr>
            </w:pPr>
            <w:r>
              <w:rPr>
                <w:rFonts w:hint="eastAsia" w:ascii="华文中宋" w:eastAsia="华文中宋"/>
                <w:sz w:val="28"/>
              </w:rPr>
              <w:t>标</w:t>
            </w:r>
            <w:r>
              <w:rPr>
                <w:rFonts w:hint="eastAsia" w:ascii="华文中宋" w:eastAsia="华文中宋"/>
                <w:sz w:val="28"/>
              </w:rPr>
              <w:tab/>
            </w:r>
            <w:r>
              <w:rPr>
                <w:rFonts w:hint="eastAsia" w:ascii="华文中宋" w:eastAsia="华文中宋"/>
                <w:sz w:val="28"/>
              </w:rPr>
              <w:t>题</w:t>
            </w:r>
          </w:p>
        </w:tc>
        <w:tc>
          <w:tcPr>
            <w:tcW w:w="2163" w:type="dxa"/>
          </w:tcPr>
          <w:p>
            <w:pPr>
              <w:pStyle w:val="4"/>
              <w:spacing w:before="132"/>
              <w:ind w:left="593"/>
              <w:jc w:val="both"/>
              <w:rPr>
                <w:rFonts w:ascii="华文中宋" w:eastAsia="华文中宋"/>
                <w:sz w:val="28"/>
              </w:rPr>
            </w:pPr>
            <w:r>
              <w:rPr>
                <w:rFonts w:hint="eastAsia" w:ascii="华文中宋" w:eastAsia="华文中宋"/>
                <w:sz w:val="28"/>
              </w:rPr>
              <w:t>刊登日期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1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“安倍经济学”落幕或已进入倒计时</w:t>
            </w:r>
          </w:p>
        </w:tc>
        <w:tc>
          <w:tcPr>
            <w:tcW w:w="2163" w:type="dxa"/>
            <w:vAlign w:val="top"/>
          </w:tcPr>
          <w:p>
            <w:pPr>
              <w:pStyle w:val="4"/>
              <w:jc w:val="center"/>
              <w:rPr>
                <w:rFonts w:hint="default" w:ascii="Times New Roman" w:hAnsi="仿宋" w:eastAsia="仿宋" w:cs="仿宋"/>
                <w:kern w:val="0"/>
                <w:sz w:val="28"/>
                <w:szCs w:val="22"/>
                <w:lang w:val="en-US" w:eastAsia="zh-CN" w:bidi="zh-CN"/>
              </w:rPr>
            </w:pPr>
            <w:r>
              <w:rPr>
                <w:rFonts w:hint="eastAsia" w:ascii="Times New Roman"/>
                <w:sz w:val="28"/>
                <w:lang w:eastAsia="zh-CN"/>
              </w:rPr>
              <w:t>1月9日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4"/>
              <w:spacing w:before="135"/>
              <w:ind w:right="230"/>
              <w:jc w:val="right"/>
              <w:rPr>
                <w:rFonts w:ascii="华文中宋" w:eastAsia="华文中宋"/>
                <w:sz w:val="28"/>
              </w:rPr>
            </w:pPr>
            <w:r>
              <w:rPr>
                <w:rFonts w:hint="eastAsia" w:ascii="华文中宋" w:eastAsia="华文中宋"/>
                <w:sz w:val="28"/>
              </w:rPr>
              <w:t>2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拜登国情咨文蓝图说易行难</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2月9日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3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银行业危机暴露美国治理困境</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3月17日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4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日本超宽松货币政策会否“急转弯”</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4月10日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4"/>
              <w:spacing w:before="135"/>
              <w:ind w:right="230"/>
              <w:jc w:val="right"/>
              <w:rPr>
                <w:rFonts w:ascii="华文中宋" w:eastAsia="华文中宋"/>
                <w:sz w:val="28"/>
              </w:rPr>
            </w:pPr>
            <w:r>
              <w:rPr>
                <w:rFonts w:hint="eastAsia" w:ascii="华文中宋" w:eastAsia="华文中宋"/>
                <w:sz w:val="28"/>
              </w:rPr>
              <w:t>5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丰田如何追赶汽车电动化浪潮</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5月12日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6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产油国再次减产为油价托底</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6月8日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7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欧盟启动单一专利制度提升创新竞争力</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7月11日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7" w:hRule="atLeast"/>
          <w:jc w:val="center"/>
        </w:trPr>
        <w:tc>
          <w:tcPr>
            <w:tcW w:w="1015" w:type="dxa"/>
          </w:tcPr>
          <w:p>
            <w:pPr>
              <w:pStyle w:val="4"/>
              <w:spacing w:before="135"/>
              <w:ind w:right="230"/>
              <w:jc w:val="right"/>
              <w:rPr>
                <w:rFonts w:ascii="华文中宋" w:eastAsia="华文中宋"/>
                <w:sz w:val="28"/>
              </w:rPr>
            </w:pPr>
            <w:r>
              <w:rPr>
                <w:rFonts w:hint="eastAsia" w:ascii="华文中宋" w:eastAsia="华文中宋"/>
                <w:sz w:val="28"/>
              </w:rPr>
              <w:t>8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各方担忧美七月通胀反弹负效应</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8月8日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230"/>
              <w:jc w:val="right"/>
              <w:rPr>
                <w:rFonts w:ascii="华文中宋" w:eastAsia="华文中宋"/>
                <w:sz w:val="28"/>
              </w:rPr>
            </w:pPr>
            <w:r>
              <w:rPr>
                <w:rFonts w:hint="eastAsia" w:ascii="华文中宋" w:eastAsia="华文中宋"/>
                <w:sz w:val="28"/>
              </w:rPr>
              <w:t>9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法国再工业化难一蹴而就</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9月13日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141"/>
              <w:jc w:val="right"/>
              <w:rPr>
                <w:rFonts w:ascii="华文中宋" w:eastAsia="华文中宋"/>
                <w:sz w:val="28"/>
              </w:rPr>
            </w:pPr>
            <w:r>
              <w:rPr>
                <w:rFonts w:hint="eastAsia" w:ascii="华文中宋" w:eastAsia="华文中宋"/>
                <w:sz w:val="28"/>
              </w:rPr>
              <w:t>10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“不冒烟”的普特拉姆电站照亮斯里兰卡</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10月9日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015" w:type="dxa"/>
          </w:tcPr>
          <w:p>
            <w:pPr>
              <w:pStyle w:val="4"/>
              <w:spacing w:before="135"/>
              <w:ind w:right="141"/>
              <w:jc w:val="right"/>
              <w:rPr>
                <w:rFonts w:ascii="华文中宋" w:eastAsia="华文中宋"/>
                <w:sz w:val="28"/>
              </w:rPr>
            </w:pPr>
            <w:r>
              <w:rPr>
                <w:rFonts w:hint="eastAsia" w:ascii="华文中宋" w:eastAsia="华文中宋"/>
                <w:sz w:val="28"/>
              </w:rPr>
              <w:t>11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进博会提升全球产业链、供应链韧性</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11月10日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jc w:val="center"/>
        </w:trPr>
        <w:tc>
          <w:tcPr>
            <w:tcW w:w="1015" w:type="dxa"/>
          </w:tcPr>
          <w:p>
            <w:pPr>
              <w:pStyle w:val="4"/>
              <w:spacing w:before="132"/>
              <w:ind w:right="141"/>
              <w:jc w:val="right"/>
              <w:rPr>
                <w:rFonts w:ascii="华文中宋" w:eastAsia="华文中宋"/>
                <w:sz w:val="28"/>
              </w:rPr>
            </w:pPr>
            <w:r>
              <w:rPr>
                <w:rFonts w:hint="eastAsia" w:ascii="华文中宋" w:eastAsia="华文中宋"/>
                <w:sz w:val="28"/>
              </w:rPr>
              <w:t>12 月</w:t>
            </w:r>
          </w:p>
        </w:tc>
        <w:tc>
          <w:tcPr>
            <w:tcW w:w="6479" w:type="dxa"/>
            <w:vAlign w:val="top"/>
          </w:tcPr>
          <w:p>
            <w:pPr>
              <w:pStyle w:val="4"/>
              <w:rPr>
                <w:rFonts w:ascii="Times New Roman" w:hAnsi="仿宋" w:eastAsia="仿宋" w:cs="仿宋"/>
                <w:kern w:val="0"/>
                <w:sz w:val="28"/>
                <w:szCs w:val="22"/>
                <w:lang w:val="zh-CN" w:eastAsia="zh-CN" w:bidi="zh-CN"/>
              </w:rPr>
            </w:pPr>
            <w:r>
              <w:rPr>
                <w:rFonts w:hint="eastAsia" w:ascii="Times New Roman"/>
                <w:sz w:val="28"/>
                <w:lang w:eastAsia="zh-CN"/>
              </w:rPr>
              <w:t>诺丁汉危机折射英国经济困境</w:t>
            </w:r>
          </w:p>
        </w:tc>
        <w:tc>
          <w:tcPr>
            <w:tcW w:w="2163" w:type="dxa"/>
            <w:vAlign w:val="top"/>
          </w:tcPr>
          <w:p>
            <w:pPr>
              <w:pStyle w:val="4"/>
              <w:jc w:val="center"/>
              <w:rPr>
                <w:rFonts w:ascii="Times New Roman" w:hAnsi="仿宋" w:eastAsia="仿宋" w:cs="仿宋"/>
                <w:kern w:val="0"/>
                <w:sz w:val="28"/>
                <w:szCs w:val="22"/>
                <w:lang w:val="zh-CN" w:eastAsia="zh-CN" w:bidi="zh-CN"/>
              </w:rPr>
            </w:pPr>
            <w:r>
              <w:rPr>
                <w:rFonts w:hint="eastAsia" w:ascii="Times New Roman"/>
                <w:sz w:val="28"/>
                <w:lang w:eastAsia="zh-CN"/>
              </w:rPr>
              <w:t>12月12日</w:t>
            </w:r>
          </w:p>
        </w:tc>
      </w:tr>
    </w:tbl>
    <w:p>
      <w:pPr>
        <w:widowControl w:val="0"/>
        <w:autoSpaceDE w:val="0"/>
        <w:autoSpaceDN w:val="0"/>
        <w:adjustRightInd w:val="0"/>
        <w:spacing w:line="420" w:lineRule="exact"/>
        <w:jc w:val="both"/>
        <w:rPr>
          <w:rFonts w:ascii="仿宋_GB2312" w:hAnsi="仿宋" w:eastAsia="仿宋_GB2312" w:cs="华文中宋"/>
          <w:sz w:val="24"/>
          <w:szCs w:val="24"/>
        </w:rPr>
      </w:pPr>
      <w:r>
        <w:rPr>
          <w:rFonts w:hint="eastAsia" w:ascii="楷体" w:eastAsia="楷体"/>
          <w:sz w:val="28"/>
        </w:rPr>
        <w:t>填写连续12个月每月第二周刊载的作品标题（如遇重大节假日或重大事件，顺延一周），日刊栏目填写每月第二周任意一天刊载的作品标题，动态消息集纳式栏目填报栏目名称。</w:t>
      </w:r>
    </w:p>
    <w:p>
      <w:pPr>
        <w:widowControl w:val="0"/>
        <w:autoSpaceDE w:val="0"/>
        <w:autoSpaceDN w:val="0"/>
        <w:adjustRightInd w:val="0"/>
        <w:spacing w:line="420" w:lineRule="exact"/>
        <w:jc w:val="both"/>
        <w:rPr>
          <w:rFonts w:ascii="仿宋_GB2312" w:hAnsi="仿宋" w:eastAsia="仿宋_GB2312" w:cs="华文中宋"/>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YWQwZGIwNDQ0Y2Q0OTBiNjQwYzg5NmJlNWM2MjgifQ=="/>
  </w:docVars>
  <w:rsids>
    <w:rsidRoot w:val="00000000"/>
    <w:rsid w:val="03C46A1B"/>
    <w:rsid w:val="05290F57"/>
    <w:rsid w:val="052E47BF"/>
    <w:rsid w:val="060A0D89"/>
    <w:rsid w:val="06F3181D"/>
    <w:rsid w:val="0F615EBD"/>
    <w:rsid w:val="10855BDB"/>
    <w:rsid w:val="114F61E9"/>
    <w:rsid w:val="16BE1E47"/>
    <w:rsid w:val="19002AD9"/>
    <w:rsid w:val="22AF6AE8"/>
    <w:rsid w:val="2CB17B5A"/>
    <w:rsid w:val="307A24E3"/>
    <w:rsid w:val="31AB2B70"/>
    <w:rsid w:val="38961E84"/>
    <w:rsid w:val="3CE851D3"/>
    <w:rsid w:val="4677652F"/>
    <w:rsid w:val="46B856BC"/>
    <w:rsid w:val="47850BE7"/>
    <w:rsid w:val="4B0034A7"/>
    <w:rsid w:val="4C0C226F"/>
    <w:rsid w:val="4C262627"/>
    <w:rsid w:val="4C96649F"/>
    <w:rsid w:val="4DF55447"/>
    <w:rsid w:val="5200004C"/>
    <w:rsid w:val="526F4B1C"/>
    <w:rsid w:val="54C42C0B"/>
    <w:rsid w:val="55A52347"/>
    <w:rsid w:val="5A76346C"/>
    <w:rsid w:val="5BEF34D6"/>
    <w:rsid w:val="5F4104EC"/>
    <w:rsid w:val="62656D48"/>
    <w:rsid w:val="652A629B"/>
    <w:rsid w:val="675863D3"/>
    <w:rsid w:val="6A3F5B25"/>
    <w:rsid w:val="742C2738"/>
    <w:rsid w:val="745F173F"/>
    <w:rsid w:val="7B23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widowControl w:val="0"/>
      <w:autoSpaceDE w:val="0"/>
      <w:autoSpaceDN w:val="0"/>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2024-04-10T06:10:00Z</dcterms:created>
  <dc:creator>z1391</dc:creator>
  <cp:lastModifiedBy>张松</cp:lastModifiedBy>
  <dcterms:modified xsi:type="dcterms:W3CDTF">2024-04-11T03:03:16Z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5CE4388927424EDBA4178D70B0634E26_12</vt:lpwstr>
  </property>
</Properties>
</file>