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4488" w14:textId="77777777" w:rsidR="00340198" w:rsidRDefault="00997A1A">
      <w:pPr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附件4</w:t>
      </w:r>
    </w:p>
    <w:p w14:paraId="5F8CED72" w14:textId="77777777" w:rsidR="00340198" w:rsidRDefault="00997A1A" w:rsidP="00330D64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1395"/>
        <w:gridCol w:w="816"/>
        <w:gridCol w:w="3294"/>
      </w:tblGrid>
      <w:tr w:rsidR="00340198" w14:paraId="24C37094" w14:textId="77777777" w:rsidTr="000416FB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3C7E18AA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074" w:type="dxa"/>
            <w:gridSpan w:val="3"/>
            <w:vMerge w:val="restart"/>
            <w:vAlign w:val="center"/>
          </w:tcPr>
          <w:p w14:paraId="4C84FAF6" w14:textId="26958B14" w:rsidR="00340198" w:rsidRDefault="00957D61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《托起“未来之城”——雄安新区五周年金融记事》</w:t>
            </w:r>
          </w:p>
        </w:tc>
        <w:tc>
          <w:tcPr>
            <w:tcW w:w="816" w:type="dxa"/>
            <w:vAlign w:val="center"/>
          </w:tcPr>
          <w:p w14:paraId="249C9AF7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94" w:type="dxa"/>
            <w:vAlign w:val="center"/>
          </w:tcPr>
          <w:p w14:paraId="26F1C947" w14:textId="4ECE81F3" w:rsidR="00340198" w:rsidRDefault="00957D61" w:rsidP="00957D61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基础类</w:t>
            </w:r>
          </w:p>
        </w:tc>
      </w:tr>
      <w:tr w:rsidR="00340198" w14:paraId="3E21E0AE" w14:textId="77777777" w:rsidTr="000416FB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78C291B0" w14:textId="77777777"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074" w:type="dxa"/>
            <w:gridSpan w:val="3"/>
            <w:vMerge/>
            <w:vAlign w:val="center"/>
          </w:tcPr>
          <w:p w14:paraId="5B5C086B" w14:textId="77777777"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16" w:type="dxa"/>
            <w:vAlign w:val="center"/>
          </w:tcPr>
          <w:p w14:paraId="74BBD7E5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94" w:type="dxa"/>
            <w:vAlign w:val="center"/>
          </w:tcPr>
          <w:p w14:paraId="65566307" w14:textId="66969FCD" w:rsidR="00340198" w:rsidRDefault="00957D61" w:rsidP="00957D61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通讯</w:t>
            </w:r>
          </w:p>
        </w:tc>
      </w:tr>
      <w:tr w:rsidR="00340198" w14:paraId="0D79609E" w14:textId="77777777" w:rsidTr="000416FB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34B54496" w14:textId="77777777"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074" w:type="dxa"/>
            <w:gridSpan w:val="3"/>
            <w:vMerge/>
            <w:vAlign w:val="center"/>
          </w:tcPr>
          <w:p w14:paraId="2914EC03" w14:textId="77777777" w:rsidR="00340198" w:rsidRDefault="0034019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16" w:type="dxa"/>
            <w:vAlign w:val="center"/>
          </w:tcPr>
          <w:p w14:paraId="22AEE770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94" w:type="dxa"/>
            <w:vAlign w:val="center"/>
          </w:tcPr>
          <w:p w14:paraId="2AF17DF1" w14:textId="3B7D72E9" w:rsidR="00340198" w:rsidRPr="00957D61" w:rsidRDefault="00957D61" w:rsidP="00957D61">
            <w:pPr>
              <w:spacing w:line="24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57D61">
              <w:rPr>
                <w:rFonts w:ascii="仿宋_GB2312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340198" w14:paraId="5030F279" w14:textId="77777777" w:rsidTr="000416FB">
        <w:trPr>
          <w:trHeight w:val="845"/>
        </w:trPr>
        <w:tc>
          <w:tcPr>
            <w:tcW w:w="1450" w:type="dxa"/>
            <w:vAlign w:val="center"/>
          </w:tcPr>
          <w:p w14:paraId="047C4D9E" w14:textId="77777777"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2FBA4D10" w14:textId="77777777" w:rsidR="00340198" w:rsidRDefault="00997A1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92B2E2A" w14:textId="60297DAA" w:rsidR="00340198" w:rsidRDefault="00957D61" w:rsidP="00957D61"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马翀、李彬</w:t>
            </w:r>
          </w:p>
        </w:tc>
        <w:tc>
          <w:tcPr>
            <w:tcW w:w="1395" w:type="dxa"/>
            <w:vAlign w:val="center"/>
          </w:tcPr>
          <w:p w14:paraId="2896C272" w14:textId="77777777"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110" w:type="dxa"/>
            <w:gridSpan w:val="2"/>
            <w:vAlign w:val="center"/>
          </w:tcPr>
          <w:p w14:paraId="3AAE6A4D" w14:textId="6CA7155E" w:rsidR="00340198" w:rsidRDefault="00957D61" w:rsidP="00957D6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957D61">
              <w:rPr>
                <w:rFonts w:ascii="仿宋_GB2312" w:hAnsi="仿宋" w:hint="eastAsia"/>
                <w:color w:val="000000"/>
                <w:sz w:val="24"/>
                <w:szCs w:val="18"/>
              </w:rPr>
              <w:t>李中</w:t>
            </w:r>
          </w:p>
        </w:tc>
      </w:tr>
      <w:tr w:rsidR="00340198" w14:paraId="53FF6E0B" w14:textId="77777777" w:rsidTr="000416FB">
        <w:trPr>
          <w:cantSplit/>
          <w:trHeight w:val="767"/>
        </w:trPr>
        <w:tc>
          <w:tcPr>
            <w:tcW w:w="1450" w:type="dxa"/>
            <w:vAlign w:val="center"/>
          </w:tcPr>
          <w:p w14:paraId="00D2F862" w14:textId="77777777" w:rsidR="00340198" w:rsidRDefault="00997A1A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388F74B6" w14:textId="1514519E" w:rsidR="00340198" w:rsidRPr="00957D61" w:rsidRDefault="00957D61" w:rsidP="0052488D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《中国银行保险</w:t>
            </w:r>
            <w:bookmarkStart w:id="0" w:name="bkReivew70331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报</w:t>
            </w:r>
            <w:bookmarkEnd w:id="0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》</w:t>
            </w:r>
          </w:p>
        </w:tc>
        <w:tc>
          <w:tcPr>
            <w:tcW w:w="1395" w:type="dxa"/>
            <w:vAlign w:val="center"/>
          </w:tcPr>
          <w:p w14:paraId="727D2AEE" w14:textId="77777777" w:rsidR="00340198" w:rsidRDefault="00997A1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110" w:type="dxa"/>
            <w:gridSpan w:val="2"/>
            <w:vAlign w:val="center"/>
          </w:tcPr>
          <w:p w14:paraId="46E4D656" w14:textId="701FF559" w:rsidR="00340198" w:rsidRPr="00957D61" w:rsidRDefault="00957D61" w:rsidP="00957D61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《中国银行保险报》</w:t>
            </w:r>
          </w:p>
        </w:tc>
      </w:tr>
      <w:tr w:rsidR="00340198" w14:paraId="0708D9BB" w14:textId="77777777" w:rsidTr="000416FB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092D7CCF" w14:textId="77777777" w:rsidR="00340198" w:rsidRDefault="00997A1A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3119B863" w14:textId="07256E66" w:rsidR="00340198" w:rsidRDefault="00957D61" w:rsidP="00957D61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1版、4版</w:t>
            </w:r>
          </w:p>
        </w:tc>
        <w:tc>
          <w:tcPr>
            <w:tcW w:w="1395" w:type="dxa"/>
            <w:vAlign w:val="center"/>
          </w:tcPr>
          <w:p w14:paraId="42C387BB" w14:textId="77777777" w:rsidR="00340198" w:rsidRDefault="00997A1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110" w:type="dxa"/>
            <w:gridSpan w:val="2"/>
            <w:vAlign w:val="center"/>
          </w:tcPr>
          <w:p w14:paraId="623ADBA3" w14:textId="66D830E2" w:rsidR="00340198" w:rsidRDefault="00957D61" w:rsidP="00957D61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2</w:t>
            </w:r>
            <w:r>
              <w:rPr>
                <w:rFonts w:ascii="仿宋_GB2312" w:hAnsi="仿宋"/>
                <w:color w:val="000000"/>
                <w:sz w:val="24"/>
                <w:szCs w:val="18"/>
              </w:rPr>
              <w:t>022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_GB2312" w:hAnsi="仿宋"/>
                <w:color w:val="000000"/>
                <w:sz w:val="24"/>
                <w:szCs w:val="18"/>
              </w:rPr>
              <w:t>4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月1日</w:t>
            </w:r>
          </w:p>
        </w:tc>
      </w:tr>
      <w:tr w:rsidR="00340198" w14:paraId="17B9B3F6" w14:textId="77777777" w:rsidTr="00957D61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7995826B" w14:textId="77777777" w:rsidR="00340198" w:rsidRDefault="00997A1A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807" w:type="dxa"/>
            <w:gridSpan w:val="4"/>
            <w:vAlign w:val="center"/>
          </w:tcPr>
          <w:p w14:paraId="77B93881" w14:textId="77777777" w:rsidR="00340198" w:rsidRDefault="00340198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340198" w14:paraId="68569EDD" w14:textId="77777777" w:rsidTr="00957D61">
        <w:trPr>
          <w:cantSplit/>
          <w:trHeight w:val="90"/>
        </w:trPr>
        <w:tc>
          <w:tcPr>
            <w:tcW w:w="1450" w:type="dxa"/>
            <w:vAlign w:val="center"/>
          </w:tcPr>
          <w:p w14:paraId="4A39AB06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2162EA09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采</w:t>
            </w:r>
          </w:p>
          <w:p w14:paraId="6AB9217A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编</w:t>
            </w:r>
          </w:p>
          <w:p w14:paraId="5B4626BA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</w:t>
            </w:r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过</w:t>
            </w:r>
          </w:p>
          <w:p w14:paraId="2D488C82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 w:rsidR="00C952B1"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14:paraId="53431005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84" w:type="dxa"/>
            <w:gridSpan w:val="5"/>
            <w:vAlign w:val="center"/>
          </w:tcPr>
          <w:p w14:paraId="65689789" w14:textId="77777777" w:rsidR="00957D61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 w14:paraId="2B562BDA" w14:textId="1BBAB96F" w:rsidR="00957D61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中国银保传媒公司党委高度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重视雄安新区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新闻宣传报道，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在雄安新区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建设五周年之际，特派记者于2</w:t>
            </w:r>
            <w:r>
              <w:rPr>
                <w:rFonts w:ascii="仿宋_GB2312" w:hAnsi="仿宋"/>
                <w:color w:val="000000"/>
                <w:sz w:val="24"/>
                <w:szCs w:val="18"/>
              </w:rPr>
              <w:t>022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年3月下旬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赴雄安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新区进行实地采访。为了全面展现金融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支持雄安新区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建设情况，两位记者采访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了雄安新区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管委会（包括改革发展局、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网信局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）、金融监管部门（河北银保监局、保定银保监分局）、7家金融机构（工行河北雄安分行、建行河北雄安分行、中信银行河北雄安分行、邮储银行河北省分行、人保财险河北雄安分公司、中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银富登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村镇银行、中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交雄安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租赁）及20多位金融机构一线人物。</w:t>
            </w:r>
          </w:p>
          <w:p w14:paraId="23DD07CA" w14:textId="77777777" w:rsidR="00957D61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采访结束后，两位记者加班加点撰写稿件、反复打磨，编辑下功夫编排相关版面。最终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在雄安新区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建设五周年纪念日即2022年4月1日，将《托起“未来之城”——雄安新区五周年金融记事》一文刊发在《中国银行保险报》头版，图文并茂，效果震撼。</w:t>
            </w:r>
          </w:p>
          <w:p w14:paraId="6C74A5A0" w14:textId="77777777" w:rsidR="00340198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本文除了在报纸端刊出，同时在《中国银行保险报》“学习强国”平台、《中国银行保险报》官方网站、“金融新瞭望”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微信公众号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刊出，广泛宣传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了雄安新区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五年来金融体系建设情况。</w:t>
            </w:r>
          </w:p>
          <w:p w14:paraId="541F11DE" w14:textId="77777777" w:rsidR="00957D61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 w14:paraId="7E262D80" w14:textId="77777777" w:rsidR="00957D61" w:rsidRDefault="00957D61" w:rsidP="00957D61">
            <w:pPr>
              <w:spacing w:line="32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 w14:paraId="3CFD9C01" w14:textId="477AF5F0" w:rsidR="00957D61" w:rsidRPr="00957D61" w:rsidRDefault="00957D61" w:rsidP="00957D61">
            <w:pPr>
              <w:spacing w:line="32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</w:p>
        </w:tc>
      </w:tr>
      <w:tr w:rsidR="00340198" w14:paraId="49171D71" w14:textId="77777777" w:rsidTr="00A14AD3">
        <w:trPr>
          <w:cantSplit/>
          <w:trHeight w:hRule="exact" w:val="3271"/>
        </w:trPr>
        <w:tc>
          <w:tcPr>
            <w:tcW w:w="1450" w:type="dxa"/>
            <w:vAlign w:val="center"/>
          </w:tcPr>
          <w:p w14:paraId="5E196F95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14:paraId="10DA852B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2A337486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14:paraId="130A1179" w14:textId="77777777" w:rsidR="00340198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84" w:type="dxa"/>
            <w:gridSpan w:val="5"/>
            <w:vAlign w:val="center"/>
          </w:tcPr>
          <w:p w14:paraId="658E82A0" w14:textId="77777777" w:rsidR="00A14AD3" w:rsidRDefault="00A14AD3" w:rsidP="00A14AD3">
            <w:pPr>
              <w:spacing w:line="320" w:lineRule="exact"/>
              <w:ind w:firstLine="420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 w14:paraId="5257F12F" w14:textId="27360E31" w:rsidR="00340198" w:rsidRPr="00A14AD3" w:rsidRDefault="00A14AD3" w:rsidP="00A14AD3">
            <w:pPr>
              <w:spacing w:line="320" w:lineRule="exact"/>
              <w:ind w:firstLine="420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文章刊出后，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得到雄安新区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管委会、金融监管部门、金融机构和广大读者的高度认可和广泛好评。“文章立意高远，心随意动。采得实，编得精！”“两位记者写这么大篇幅的综合报道稿件，将繁杂的内容理得很清晰，重点把握得也非常准确，表述得也很到位，令人敬佩。”“感谢对雄安新区工作的关注和关心！”当地的金融监管部门、金融工作者纷纷表示，《中国银行保险报》这次报道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了雄安新区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金融体系建设以及五年来金融业为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支持雄安新区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建设所做的努力，他们深受鼓舞，此次报道也提振了他们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为雄安新区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建设接续奋斗的信心。</w:t>
            </w:r>
          </w:p>
          <w:p w14:paraId="498860AD" w14:textId="77777777" w:rsidR="00A14AD3" w:rsidRDefault="00A14AD3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14:paraId="479C9CB1" w14:textId="77777777" w:rsidR="00A14AD3" w:rsidRDefault="00A14AD3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14:paraId="6755291D" w14:textId="2015457B" w:rsidR="00A14AD3" w:rsidRDefault="00A14AD3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340198" w14:paraId="7E278C52" w14:textId="77777777" w:rsidTr="008150A6">
        <w:trPr>
          <w:cantSplit/>
          <w:trHeight w:hRule="exact" w:val="4819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6D16513" w14:textId="77777777" w:rsidR="00340198" w:rsidRPr="001D56F3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</w:t>
            </w: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14:paraId="7A1F4864" w14:textId="77777777" w:rsidR="00340198" w:rsidRPr="001D56F3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1D2910E7" w14:textId="77777777" w:rsidR="00340198" w:rsidRPr="001D56F3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4B7A2909" w14:textId="77777777" w:rsidR="00340198" w:rsidRPr="001D56F3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2885242C" w14:textId="77777777" w:rsidR="00340198" w:rsidRPr="001D56F3" w:rsidRDefault="00997A1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16C98706" w14:textId="77777777" w:rsidR="00340198" w:rsidRDefault="00997A1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1D56F3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84" w:type="dxa"/>
            <w:gridSpan w:val="5"/>
            <w:tcBorders>
              <w:bottom w:val="single" w:sz="4" w:space="0" w:color="auto"/>
            </w:tcBorders>
            <w:vAlign w:val="center"/>
          </w:tcPr>
          <w:p w14:paraId="1E57B3F8" w14:textId="5BAF3293" w:rsidR="00340198" w:rsidRPr="00F13AF1" w:rsidRDefault="00F13AF1" w:rsidP="00F13AF1">
            <w:pPr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设立雄安新区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是千年大计、国家大事，习近平总书记亲自决策、亲自部署、亲自</w:t>
            </w: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推动雄安新区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建设。此篇文章以金融</w:t>
            </w: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支持雄安新区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建设为切口，抓住</w:t>
            </w: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了雄安新区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设立五周年这一重要历史节点，从健全金融服务体系、支持北京</w:t>
            </w: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非首都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功能疏解及重点项目建设、金融服务百姓民生、金融助力绿色发展4个维度出发，全景展现了</w:t>
            </w:r>
            <w:proofErr w:type="gramStart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5年来雄安新区</w:t>
            </w:r>
            <w:proofErr w:type="gramEnd"/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在金融支持下发生的巨大变化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，</w:t>
            </w:r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作品主题宏大，立意深远。文章语言平实但饱含温度，人物故事和细节描写生动形象，结构设计精巧、逻辑严谨，段落错落有致、节奏明快，细腻地反映了金融人为高标准高质量</w:t>
            </w:r>
            <w:proofErr w:type="gramStart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推进雄安新区</w:t>
            </w:r>
            <w:proofErr w:type="gramEnd"/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建设</w:t>
            </w:r>
            <w:r w:rsidRPr="00F13AF1">
              <w:rPr>
                <w:rFonts w:ascii="仿宋_GB2312" w:hAnsi="仿宋" w:hint="eastAsia"/>
                <w:color w:val="000000"/>
                <w:sz w:val="24"/>
                <w:szCs w:val="18"/>
              </w:rPr>
              <w:t>不舍昼夜、不辞辛劳的奋斗精神，是一篇见人见事见精神的通讯报道。</w:t>
            </w:r>
            <w:r w:rsidR="00997A1A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</w:t>
            </w:r>
          </w:p>
          <w:p w14:paraId="2F1D8A6B" w14:textId="77777777" w:rsidR="008150A6" w:rsidRPr="00B712DC" w:rsidRDefault="008150A6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14:paraId="259FEADE" w14:textId="77777777" w:rsidR="00340198" w:rsidRDefault="00997A1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14:paraId="0301FBDA" w14:textId="77777777" w:rsidR="00340198" w:rsidRDefault="00997A1A" w:rsidP="00802AD8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</w:t>
            </w:r>
            <w:r w:rsidR="00802AD8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14:paraId="4E3F137C" w14:textId="77777777" w:rsidR="00340198" w:rsidRDefault="00340198">
      <w:pPr>
        <w:rPr>
          <w:rFonts w:ascii="华文仿宋" w:eastAsia="华文仿宋" w:hAnsi="华文仿宋"/>
          <w:color w:val="000000"/>
          <w:szCs w:val="32"/>
        </w:rPr>
        <w:sectPr w:rsidR="00340198">
          <w:headerReference w:type="default" r:id="rId8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14:paraId="64DB69F7" w14:textId="77777777" w:rsidR="00340198" w:rsidRDefault="00340198" w:rsidP="006F6E07">
      <w:pPr>
        <w:spacing w:afterLines="50" w:after="156" w:line="600" w:lineRule="exact"/>
        <w:rPr>
          <w:rFonts w:ascii="楷体" w:eastAsia="楷体" w:hAnsi="楷体"/>
          <w:color w:val="000000"/>
          <w:sz w:val="28"/>
          <w:szCs w:val="28"/>
        </w:rPr>
      </w:pPr>
    </w:p>
    <w:sectPr w:rsidR="00340198" w:rsidSect="006F6E07">
      <w:headerReference w:type="default" r:id="rId9"/>
      <w:footerReference w:type="default" r:id="rId10"/>
      <w:pgSz w:w="11906" w:h="16838"/>
      <w:pgMar w:top="1440" w:right="1247" w:bottom="1440" w:left="1247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A9DC" w14:textId="77777777" w:rsidR="00CE10B6" w:rsidRDefault="00CE10B6">
      <w:r>
        <w:separator/>
      </w:r>
    </w:p>
  </w:endnote>
  <w:endnote w:type="continuationSeparator" w:id="0">
    <w:p w14:paraId="5355A9C0" w14:textId="77777777" w:rsidR="00CE10B6" w:rsidRDefault="00C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8A4" w14:textId="77777777" w:rsidR="00FD318B" w:rsidRDefault="00FD318B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4C479" wp14:editId="09425F0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52436561" w14:textId="77777777" w:rsidR="00FD318B" w:rsidRDefault="00FD318B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82FF9" w:rsidRPr="00C82FF9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C82FF9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</w:rPr>
                                <w:t xml:space="preserve"> 12 -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E952708" w14:textId="77777777" w:rsidR="00FD318B" w:rsidRDefault="00FD318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4C4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52436561" w14:textId="77777777" w:rsidR="00FD318B" w:rsidRDefault="00FD318B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C82FF9" w:rsidRPr="00C82FF9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C82FF9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</w:rPr>
                          <w:t xml:space="preserve"> 12 -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E952708" w14:textId="77777777" w:rsidR="00FD318B" w:rsidRDefault="00FD318B"/>
                </w:txbxContent>
              </v:textbox>
              <w10:wrap anchorx="margin"/>
            </v:shape>
          </w:pict>
        </mc:Fallback>
      </mc:AlternateContent>
    </w:r>
  </w:p>
  <w:p w14:paraId="343769FF" w14:textId="77777777" w:rsidR="00FD318B" w:rsidRDefault="00FD31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2B15" w14:textId="77777777" w:rsidR="00CE10B6" w:rsidRDefault="00CE10B6">
      <w:r>
        <w:separator/>
      </w:r>
    </w:p>
  </w:footnote>
  <w:footnote w:type="continuationSeparator" w:id="0">
    <w:p w14:paraId="4E69BB15" w14:textId="77777777" w:rsidR="00CE10B6" w:rsidRDefault="00CE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BED" w14:textId="77777777" w:rsidR="00FD318B" w:rsidRDefault="00FD318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0731" w14:textId="77777777" w:rsidR="00FD318B" w:rsidRDefault="00FD318B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16FB"/>
    <w:rsid w:val="00044F8D"/>
    <w:rsid w:val="00061030"/>
    <w:rsid w:val="00075895"/>
    <w:rsid w:val="00110ED1"/>
    <w:rsid w:val="001135FF"/>
    <w:rsid w:val="00113F65"/>
    <w:rsid w:val="00157384"/>
    <w:rsid w:val="001609D5"/>
    <w:rsid w:val="0017782A"/>
    <w:rsid w:val="00182DF0"/>
    <w:rsid w:val="001B6049"/>
    <w:rsid w:val="001B6468"/>
    <w:rsid w:val="001C5601"/>
    <w:rsid w:val="001D56F3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87F6F"/>
    <w:rsid w:val="003A4C50"/>
    <w:rsid w:val="003A54CF"/>
    <w:rsid w:val="003B36E8"/>
    <w:rsid w:val="003D3563"/>
    <w:rsid w:val="00402438"/>
    <w:rsid w:val="00445B42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2488D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275F1"/>
    <w:rsid w:val="00671C03"/>
    <w:rsid w:val="00695D81"/>
    <w:rsid w:val="006F5A42"/>
    <w:rsid w:val="006F6E07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50A6"/>
    <w:rsid w:val="00817F84"/>
    <w:rsid w:val="008246EC"/>
    <w:rsid w:val="00836884"/>
    <w:rsid w:val="0084656A"/>
    <w:rsid w:val="00871784"/>
    <w:rsid w:val="00895412"/>
    <w:rsid w:val="008B36E3"/>
    <w:rsid w:val="008C1ACB"/>
    <w:rsid w:val="00930B7E"/>
    <w:rsid w:val="00941CC8"/>
    <w:rsid w:val="00956FFA"/>
    <w:rsid w:val="00957D61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14AD3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12DC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2FF9"/>
    <w:rsid w:val="00C866B1"/>
    <w:rsid w:val="00C952B1"/>
    <w:rsid w:val="00C9779D"/>
    <w:rsid w:val="00CA3D3F"/>
    <w:rsid w:val="00CB3DF0"/>
    <w:rsid w:val="00CE048A"/>
    <w:rsid w:val="00CE10B6"/>
    <w:rsid w:val="00CF08F0"/>
    <w:rsid w:val="00D51A92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3AF1"/>
    <w:rsid w:val="00F1464C"/>
    <w:rsid w:val="00F37585"/>
    <w:rsid w:val="00F42F64"/>
    <w:rsid w:val="00F616BE"/>
    <w:rsid w:val="00F65B32"/>
    <w:rsid w:val="00F670B4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D90145"/>
  <w15:docId w15:val="{B089FB7A-1F02-40B4-8FA2-19486054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autoRedefine/>
    <w:rsid w:val="008C1ACB"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1BA6282-7BB0-4308-A46E-FC1679184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191</Words>
  <Characters>1090</Characters>
  <Application>Microsoft Office Word</Application>
  <DocSecurity>0</DocSecurity>
  <Lines>9</Lines>
  <Paragraphs>2</Paragraphs>
  <ScaleCrop>false</ScaleCrop>
  <Company>Lenovo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刘佳佳</cp:lastModifiedBy>
  <cp:revision>31</cp:revision>
  <cp:lastPrinted>2022-12-27T03:12:00Z</cp:lastPrinted>
  <dcterms:created xsi:type="dcterms:W3CDTF">2023-01-13T06:52:00Z</dcterms:created>
  <dcterms:modified xsi:type="dcterms:W3CDTF">2023-05-19T01:48:00Z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