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Times New Roman"/>
          <w:sz w:val="30"/>
          <w:szCs w:val="30"/>
          <w:lang w:bidi="ar-SA"/>
        </w:rPr>
      </w:pPr>
      <w:r>
        <w:rPr>
          <w:rFonts w:hint="eastAsia" w:ascii="黑体" w:eastAsia="黑体" w:cs="Times New Roman"/>
          <w:sz w:val="32"/>
          <w:szCs w:val="32"/>
          <w:lang w:bidi="ar-SA"/>
        </w:rPr>
        <w:t>附件</w:t>
      </w:r>
      <w:r>
        <w:rPr>
          <w:rFonts w:ascii="Times New Roman" w:hAnsi="Times New Roman" w:eastAsia="黑体" w:cs="Times New Roman"/>
          <w:sz w:val="32"/>
          <w:szCs w:val="32"/>
          <w:lang w:bidi="ar-SA"/>
        </w:rPr>
        <w:t>1</w:t>
      </w:r>
      <w:r>
        <w:rPr>
          <w:rFonts w:hint="eastAsia" w:ascii="黑体" w:eastAsia="黑体" w:cs="Times New Roman"/>
          <w:sz w:val="30"/>
          <w:szCs w:val="30"/>
          <w:lang w:bidi="ar-SA"/>
        </w:rPr>
        <w:t xml:space="preserve">                            </w:t>
      </w:r>
    </w:p>
    <w:p>
      <w:pPr>
        <w:adjustRightInd w:val="0"/>
        <w:snapToGrid w:val="0"/>
        <w:spacing w:line="600" w:lineRule="exact"/>
        <w:rPr>
          <w:rFonts w:hint="eastAsia" w:ascii="黑体" w:eastAsia="黑体" w:cs="Times New Roman"/>
          <w:b/>
          <w:bCs/>
          <w:sz w:val="36"/>
          <w:szCs w:val="28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黑体" w:cs="Times New Roman"/>
          <w:sz w:val="44"/>
          <w:szCs w:val="36"/>
          <w:lang w:bidi="ar-SA"/>
        </w:rPr>
      </w:pPr>
      <w:r>
        <w:rPr>
          <w:rFonts w:hint="eastAsia" w:ascii="Times New Roman" w:hAnsi="Times New Roman" w:eastAsia="黑体" w:cs="Times New Roman"/>
          <w:sz w:val="44"/>
          <w:szCs w:val="36"/>
          <w:lang w:bidi="ar-SA"/>
        </w:rPr>
        <w:t>2022年</w:t>
      </w:r>
      <w:r>
        <w:rPr>
          <w:rFonts w:hint="eastAsia" w:ascii="Times New Roman" w:hAnsi="Times New Roman" w:eastAsia="黑体" w:cs="Times New Roman"/>
          <w:sz w:val="44"/>
          <w:szCs w:val="36"/>
          <w:lang w:eastAsia="zh-CN" w:bidi="ar-SA"/>
        </w:rPr>
        <w:t>中国行业媒体融合发展典型（优秀）案例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eastAsia="宋体" w:cs="Times New Roman"/>
          <w:sz w:val="28"/>
          <w:szCs w:val="24"/>
          <w:lang w:bidi="ar-SA"/>
        </w:rPr>
      </w:pPr>
      <w:r>
        <w:rPr>
          <w:rFonts w:hint="eastAsia" w:ascii="Times New Roman" w:hAnsi="Times New Roman" w:eastAsia="黑体" w:cs="Times New Roman"/>
          <w:sz w:val="44"/>
          <w:szCs w:val="36"/>
          <w:lang w:bidi="ar-SA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 w:cs="黑体"/>
          <w:bCs/>
          <w:sz w:val="30"/>
          <w:szCs w:val="30"/>
          <w:lang w:val="en-US" w:eastAsia="zh-CN" w:bidi="ar-SA"/>
        </w:rPr>
      </w:pPr>
      <w:r>
        <w:rPr>
          <w:rFonts w:hint="eastAsia" w:ascii="宋体" w:eastAsia="宋体" w:cs="Times New Roman"/>
          <w:sz w:val="24"/>
          <w:szCs w:val="24"/>
          <w:lang w:bidi="ar-SA"/>
        </w:rPr>
        <w:t>　</w:t>
      </w:r>
      <w:r>
        <w:rPr>
          <w:rFonts w:hint="eastAsia" w:ascii="宋体" w:eastAsia="宋体" w:cs="Times New Roman"/>
          <w:sz w:val="28"/>
          <w:szCs w:val="28"/>
          <w:lang w:bidi="ar-SA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 w:cs="仿宋_GB2312"/>
          <w:sz w:val="30"/>
          <w:szCs w:val="30"/>
          <w:lang w:bidi="ar-SA"/>
        </w:rPr>
      </w:pPr>
      <w:r>
        <w:rPr>
          <w:rFonts w:hint="eastAsia" w:ascii="黑体" w:eastAsia="黑体" w:cs="黑体"/>
          <w:bCs/>
          <w:sz w:val="30"/>
          <w:szCs w:val="30"/>
          <w:lang w:bidi="ar-SA"/>
        </w:rPr>
        <w:t>一、案例类别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仿宋_GB2312" w:eastAsia="仿宋_GB2312" w:cs="仿宋_GB2312"/>
          <w:sz w:val="30"/>
          <w:szCs w:val="30"/>
          <w:lang w:val="en-US" w:bidi="ar-SA"/>
        </w:rPr>
      </w:pPr>
      <w:r>
        <w:rPr>
          <w:rFonts w:hint="eastAsia" w:ascii="仿宋_GB2312" w:eastAsia="仿宋_GB2312" w:cs="仿宋_GB2312"/>
          <w:sz w:val="30"/>
          <w:szCs w:val="30"/>
          <w:lang w:bidi="ar-SA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体系建设类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eastAsia="仿宋_GB2312" w:cs="仿宋_GB2312"/>
          <w:sz w:val="30"/>
          <w:szCs w:val="30"/>
          <w:lang w:bidi="ar-SA"/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bidi="ar-SA"/>
          <w14:textFill>
            <w14:solidFill>
              <w14:schemeClr w14:val="tx1"/>
            </w14:solidFill>
          </w14:textFill>
        </w:rPr>
        <w:t>以互联网思维优化资源配置，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eastAsia="zh-CN" w:bidi="ar-SA"/>
          <w14:textFill>
            <w14:solidFill>
              <w14:schemeClr w14:val="tx1"/>
            </w14:solidFill>
          </w14:textFill>
        </w:rPr>
        <w:t>在融合发展上做到理念先行、机制创新、品牌再造等，在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体制机制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更新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制度构建、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资源开发利用等方面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实现平稳过渡、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加强融合，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淘汰落后产能，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通过优势互补和良性互动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发挥出“1+1&gt;2”的集聚效应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完善和优化内部管理机制，界定工作职责，完善考核激励机制，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推动报业内容资源整合、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人才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激励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培养、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生产流程再造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等，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从而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不断提升和优化管理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效能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，实现从“整合”到“融合”的发展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而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进行的全媒体体系建设类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的相关案例；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包括但不限于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单位顶层创新性布局、相关制度重塑，如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融媒体中心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、融媒体工作室、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海外内容传播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体系建设等，或是获得良好效益、具有一定影响力的融合发展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新型主流媒体平台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，如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新闻网站、移动客户端、微信小程序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等，及其他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综合服务平台、社区信息枢纽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等案例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（二）内容作品类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 w:cs="仿宋_GB2312"/>
          <w:sz w:val="30"/>
          <w:szCs w:val="30"/>
          <w:lang w:eastAsia="zh-CN" w:bidi="ar-SA"/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eastAsia="zh-CN" w:bidi="ar-SA"/>
          <w14:textFill>
            <w14:solidFill>
              <w14:schemeClr w14:val="tx1"/>
            </w14:solidFill>
          </w14:textFill>
        </w:rPr>
        <w:t>充分利用各媒介载体，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在保持内容定力、专注内容质量的同时，进行理念、内容、形式、方法、手段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等多方面的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创新，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而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不断推出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的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各类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具有显著创新性、融合性、传播力、互动量等或是其他突破性效果的优质项目作品或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内容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产品；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包括但不限于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单位发</w:t>
      </w:r>
      <w:r>
        <w:rPr>
          <w:rFonts w:hint="eastAsia" w:ascii="仿宋" w:hAnsi="仿宋" w:eastAsia="仿宋" w:cs="仿宋"/>
          <w:sz w:val="30"/>
          <w:szCs w:val="30"/>
          <w:lang w:eastAsia="zh-CN" w:bidi="ar-SA"/>
        </w:rPr>
        <w:t>布于各大平台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"/>
          <w:sz w:val="30"/>
          <w:szCs w:val="30"/>
          <w:shd w:val="clear" w:fill="FFFFFF"/>
        </w:rPr>
        <w:t>能体现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"/>
          <w:sz w:val="30"/>
          <w:szCs w:val="30"/>
          <w:shd w:val="clear" w:fill="FFFFFF"/>
          <w:lang w:eastAsia="zh-CN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"/>
          <w:sz w:val="30"/>
          <w:szCs w:val="30"/>
          <w:shd w:val="clear" w:fill="FFFFFF"/>
        </w:rPr>
        <w:t>融媒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"/>
          <w:sz w:val="30"/>
          <w:szCs w:val="30"/>
          <w:shd w:val="clear" w:fill="FFFFFF"/>
          <w:lang w:eastAsia="zh-CN"/>
        </w:rPr>
        <w:t>发展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"/>
          <w:sz w:val="30"/>
          <w:szCs w:val="30"/>
          <w:shd w:val="clear" w:fill="FFFFFF"/>
        </w:rPr>
        <w:t>建设成果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 w:bidi="ar-SA"/>
        </w:rPr>
        <w:t>具有突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出浏览量或获得一定影响力的图文作品、摄影作品、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直播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作品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、移动音视频栏目、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主题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H5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等具有代表性的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内容单品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或相关项目内容合集。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0" w:lef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（三）行业服务类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 w:cs="仿宋_GB2312"/>
          <w:sz w:val="30"/>
          <w:szCs w:val="30"/>
          <w:lang w:bidi="ar-SA"/>
        </w:rPr>
      </w:pPr>
      <w:r>
        <w:rPr>
          <w:rFonts w:hint="eastAsia" w:ascii="仿宋_GB2312" w:eastAsia="仿宋_GB2312" w:cs="仿宋_GB2312"/>
          <w:sz w:val="30"/>
          <w:szCs w:val="30"/>
          <w:lang w:bidi="ar-SA"/>
        </w:rPr>
        <w:t>在专业化、分众化、移动化、互动化的趋势下，充分利用品牌影响力和内容资源的专业化、权威性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等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优势，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针对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专业领域提供信息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、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知识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等方面的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服务，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且能够实现社会与经济双效益的项目案例；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包括但不限于行业服务、垂类信息聚合、专业数据库、专题知识服务等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相关案例。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 w:cs="仿宋_GB2312"/>
          <w:sz w:val="30"/>
          <w:szCs w:val="30"/>
          <w:lang w:bidi="ar-SA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（四）技术应用类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 w:cs="仿宋_GB2312"/>
          <w:sz w:val="30"/>
          <w:szCs w:val="30"/>
          <w:lang w:bidi="ar-SA"/>
        </w:rPr>
      </w:pPr>
      <w:r>
        <w:rPr>
          <w:rFonts w:hint="eastAsia" w:ascii="仿宋_GB2312" w:eastAsia="仿宋_GB2312" w:cs="仿宋_GB2312"/>
          <w:sz w:val="30"/>
          <w:szCs w:val="30"/>
          <w:lang w:bidi="ar-SA"/>
        </w:rPr>
        <w:t>紧密跟踪信息技术发展趋势，以创新思维统领媒体融合事业，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通过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主动应用对内容产业的组织与分工模式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等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产生重大影响的前沿技术，如“人工智能、大数据、区块链、云计算、物联网”等，培育新业态、新应用、新服务，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实现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在新闻采编、政务服务、信息服务、生活服务等方面的有效探索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或助力解决实际问题、取得一定成就的案例；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包括但不限于人工智能类新媒体、基于5G环境的移动音视频项目、基于大数据云计算和移动采编技术实现的新闻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等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信息内容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采写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编发流程再造、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助力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数据资产升值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的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智能化数据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中心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建设或针对个性化需求的机器人项目、针对内容版权保护的区块链项目、AR／VR技术支撑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下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的富媒体产品等。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0" w:leftChars="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（五）新媒体账号类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 w:cs="仿宋_GB2312"/>
          <w:sz w:val="30"/>
          <w:szCs w:val="30"/>
          <w:lang w:eastAsia="zh-CN" w:bidi="ar-SA"/>
        </w:rPr>
      </w:pP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为进一步促进媒体融合发展，布局融媒体事业，入驻各大平台并利用平台优势，有重点地进行多种形式的融媒内容输出，打造出的具有显著创</w:t>
      </w: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新性、融合性、传播力、互动量等的优质</w:t>
      </w:r>
      <w:r>
        <w:rPr>
          <w:rFonts w:hint="eastAsia" w:ascii="仿宋_GB2312" w:eastAsia="仿宋_GB2312" w:cs="仿宋_GB2312"/>
          <w:sz w:val="30"/>
          <w:szCs w:val="30"/>
          <w:lang w:val="en-US" w:eastAsia="zh-CN" w:bidi="ar-SA"/>
        </w:rPr>
        <w:t>新媒体相关账号；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包括但不限于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单位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微信公众号、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其他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入驻商业平台网络账号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sz w:val="30"/>
          <w:szCs w:val="30"/>
          <w:lang w:bidi="ar-SA"/>
        </w:rPr>
        <w:t>　　</w:t>
      </w:r>
      <w:r>
        <w:rPr>
          <w:rFonts w:hint="eastAsia" w:ascii="黑体" w:hAnsi="黑体" w:eastAsia="黑体" w:cs="黑体"/>
          <w:bCs/>
          <w:sz w:val="30"/>
          <w:szCs w:val="30"/>
          <w:lang w:bidi="ar-SA"/>
        </w:rPr>
        <w:t>二</w:t>
      </w:r>
      <w:r>
        <w:rPr>
          <w:rFonts w:hint="eastAsia" w:ascii="黑体" w:hAnsi="黑体" w:eastAsia="黑体" w:cs="黑体"/>
          <w:bCs/>
          <w:sz w:val="30"/>
          <w:szCs w:val="30"/>
          <w:lang w:eastAsia="zh-CN" w:bidi="ar-SA"/>
        </w:rPr>
        <w:t>、</w:t>
      </w:r>
      <w:r>
        <w:rPr>
          <w:rFonts w:hint="eastAsia" w:ascii="黑体" w:hAnsi="黑体" w:eastAsia="黑体" w:cs="黑体"/>
          <w:bCs/>
          <w:sz w:val="30"/>
          <w:szCs w:val="30"/>
          <w:lang w:bidi="ar-SA"/>
        </w:rPr>
        <w:t>申报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 w:bidi="ar-SA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0"/>
          <w:szCs w:val="30"/>
          <w:lang w:bidi="ar-SA"/>
        </w:rPr>
      </w:pPr>
      <w:r>
        <w:rPr>
          <w:rFonts w:hint="eastAsia" w:ascii="仿宋" w:hAnsi="仿宋" w:eastAsia="仿宋" w:cs="仿宋"/>
          <w:sz w:val="30"/>
          <w:szCs w:val="30"/>
          <w:lang w:bidi="ar-SA"/>
        </w:rPr>
        <w:t>（一）申报案例原则上在2021年1月1日至2022年6月30日内已完成上线，并且正常运营，在建或计划中案例不得申报。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0"/>
          <w:szCs w:val="30"/>
          <w:lang w:eastAsia="zh-CN" w:bidi="ar-SA"/>
        </w:rPr>
      </w:pPr>
      <w:r>
        <w:rPr>
          <w:rFonts w:hint="eastAsia" w:ascii="仿宋" w:hAnsi="仿宋" w:eastAsia="仿宋" w:cs="仿宋"/>
          <w:sz w:val="30"/>
          <w:szCs w:val="30"/>
          <w:lang w:eastAsia="zh-CN" w:bidi="ar-SA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 w:bidi="ar-SA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 w:bidi="ar-SA"/>
        </w:rPr>
        <w:t>）申报单位须具备独立法人资质，对所申报案例具有合法的知识产权或取得合法授权；申报主体与案例的实施主体必须统一；近三年无违法违纪记录。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0"/>
          <w:szCs w:val="30"/>
          <w:lang w:bidi="ar-SA"/>
        </w:rPr>
      </w:pPr>
      <w:r>
        <w:rPr>
          <w:rStyle w:val="5"/>
          <w:rFonts w:hint="eastAsia" w:ascii="仿宋" w:hAnsi="仿宋" w:eastAsia="仿宋" w:cs="仿宋"/>
          <w:b w:val="0"/>
          <w:bCs/>
          <w:sz w:val="30"/>
          <w:szCs w:val="30"/>
          <w:shd w:val="clear" w:color="auto" w:fill="FFFFFF"/>
          <w:lang w:val="en-US" w:eastAsia="zh-CN" w:bidi="ar-SA"/>
        </w:rPr>
        <w:t>（三）每个类型案例均可申报，但每个类型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最多</w:t>
      </w:r>
      <w:r>
        <w:rPr>
          <w:rFonts w:hint="eastAsia" w:ascii="仿宋" w:hAnsi="仿宋" w:eastAsia="仿宋" w:cs="仿宋"/>
          <w:sz w:val="30"/>
          <w:szCs w:val="30"/>
          <w:lang w:eastAsia="zh-CN" w:bidi="ar-SA"/>
        </w:rPr>
        <w:t>限制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申报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 w:bidi="ar-SA"/>
        </w:rPr>
        <w:t>3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个案例。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黑体" w:eastAsia="黑体" w:cs="黑体"/>
          <w:bCs/>
          <w:sz w:val="30"/>
          <w:szCs w:val="30"/>
          <w:lang w:val="en-US" w:eastAsia="zh-CN" w:bidi="ar-SA"/>
        </w:rPr>
      </w:pPr>
      <w:r>
        <w:rPr>
          <w:rFonts w:hint="eastAsia" w:ascii="黑体" w:eastAsia="黑体" w:cs="黑体"/>
          <w:bCs/>
          <w:sz w:val="30"/>
          <w:szCs w:val="30"/>
          <w:lang w:bidi="ar-SA"/>
        </w:rPr>
        <w:t>三、</w:t>
      </w:r>
      <w:r>
        <w:rPr>
          <w:rFonts w:hint="eastAsia" w:ascii="黑体" w:eastAsia="黑体" w:cs="黑体"/>
          <w:bCs/>
          <w:sz w:val="30"/>
          <w:szCs w:val="30"/>
          <w:lang w:val="en-US" w:eastAsia="zh-CN" w:bidi="ar-SA"/>
        </w:rPr>
        <w:t>申报要求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各单位报送的案例应符合以下要求：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（一）政治性。符合中央关于推进媒体深度融合的原则要求，坚持正确政治方向、舆论导向、价值取向，充分体现行业媒体相关机构的主动作为和进取精神。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创新性。针对媒体融合的重点和难点，在理念思路、内容形式、手段方法、路径模式上有突出创新，在加强内容建设、强化先进技术引领、创新运营管理方式、深化体制机制改革、培养全媒体人才队伍等重点领域和关键环节有创新进展和务实举措。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（三）实效性。融合实效突出，社会效益和经济效益显著，可持续发展，能够有效提升行业媒体的传播力、引导力、影响力、公信力、竞争力，有效壮大主流思想舆论阵地，加快建设新型主流媒体。</w:t>
      </w:r>
    </w:p>
    <w:p>
      <w:pPr>
        <w:ind w:firstLine="600"/>
        <w:rPr>
          <w:rFonts w:hint="default" w:ascii="黑体" w:eastAsia="黑体" w:cs="黑体"/>
          <w:bCs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（四）典型性。案例要具有代表性，其模式和经验可复制、可推广，对各行业媒体深度融合工作有较强的借鉴意义。成长型项目应具有可预期的良好发展前景和广阔的发展空间。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黑体" w:eastAsia="黑体" w:cs="黑体"/>
          <w:sz w:val="30"/>
          <w:szCs w:val="30"/>
          <w:lang w:bidi="ar-SA"/>
        </w:rPr>
      </w:pPr>
      <w:r>
        <w:rPr>
          <w:rFonts w:hint="eastAsia" w:ascii="黑体" w:eastAsia="黑体" w:cs="黑体"/>
          <w:bCs/>
          <w:sz w:val="30"/>
          <w:szCs w:val="30"/>
          <w:lang w:val="en-US" w:eastAsia="zh-CN" w:bidi="ar-SA"/>
        </w:rPr>
        <w:t>四、</w:t>
      </w:r>
      <w:r>
        <w:rPr>
          <w:rFonts w:hint="eastAsia" w:ascii="黑体" w:eastAsia="黑体" w:cs="黑体"/>
          <w:bCs/>
          <w:sz w:val="30"/>
          <w:szCs w:val="30"/>
          <w:lang w:bidi="ar-SA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eastAsia="仿宋_GB2312" w:cs="仿宋_GB2312"/>
          <w:sz w:val="30"/>
          <w:szCs w:val="30"/>
          <w:highlight w:val="none"/>
          <w:lang w:bidi="ar-SA"/>
        </w:rPr>
      </w:pPr>
      <w:r>
        <w:rPr>
          <w:rFonts w:hint="eastAsia" w:ascii="仿宋_GB2312" w:eastAsia="仿宋_GB2312" w:cs="仿宋_GB2312"/>
          <w:sz w:val="30"/>
          <w:szCs w:val="30"/>
          <w:highlight w:val="none"/>
          <w:lang w:bidi="ar-SA"/>
        </w:rPr>
        <w:t>（</w:t>
      </w:r>
      <w:r>
        <w:rPr>
          <w:rFonts w:hint="eastAsia" w:ascii="仿宋" w:hAnsi="仿宋" w:eastAsia="仿宋" w:cs="仿宋"/>
          <w:sz w:val="30"/>
          <w:szCs w:val="30"/>
          <w:highlight w:val="none"/>
          <w:lang w:bidi="ar-SA"/>
        </w:rPr>
        <w:t>一）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 w:bidi="ar-SA"/>
        </w:rPr>
        <w:t>请根据</w:t>
      </w:r>
      <w:r>
        <w:rPr>
          <w:rFonts w:hint="eastAsia" w:ascii="仿宋" w:hAnsi="仿宋" w:eastAsia="仿宋" w:cs="仿宋"/>
          <w:sz w:val="30"/>
          <w:szCs w:val="30"/>
          <w:highlight w:val="none"/>
          <w:lang w:bidi="ar-SA"/>
        </w:rPr>
        <w:t>《2022年行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bidi="ar-SA"/>
        </w:rPr>
        <w:t>业媒体融合发展典型案例申报表</w:t>
      </w:r>
      <w:r>
        <w:rPr>
          <w:rFonts w:hint="eastAsia" w:ascii="仿宋_GB2312" w:eastAsia="仿宋_GB2312" w:cs="仿宋_GB2312"/>
          <w:sz w:val="30"/>
          <w:szCs w:val="30"/>
          <w:highlight w:val="none"/>
          <w:lang w:bidi="ar-SA"/>
        </w:rPr>
        <w:t>》分类填写</w:t>
      </w:r>
      <w:r>
        <w:rPr>
          <w:rFonts w:hint="eastAsia" w:ascii="仿宋_GB2312" w:eastAsia="仿宋_GB2312" w:cs="仿宋_GB2312"/>
          <w:sz w:val="30"/>
          <w:szCs w:val="30"/>
          <w:highlight w:val="none"/>
          <w:lang w:eastAsia="zh-CN" w:bidi="ar-SA"/>
        </w:rPr>
        <w:t>申报</w:t>
      </w:r>
      <w:r>
        <w:rPr>
          <w:rFonts w:hint="eastAsia" w:ascii="仿宋_GB2312" w:eastAsia="仿宋_GB2312" w:cs="仿宋_GB2312"/>
          <w:sz w:val="30"/>
          <w:szCs w:val="30"/>
          <w:highlight w:val="none"/>
          <w:lang w:bidi="ar-SA"/>
        </w:rPr>
        <w:t>表，并</w:t>
      </w:r>
      <w:r>
        <w:rPr>
          <w:rFonts w:hint="eastAsia" w:ascii="仿宋_GB2312" w:eastAsia="仿宋_GB2312" w:cs="仿宋_GB2312"/>
          <w:sz w:val="30"/>
          <w:szCs w:val="30"/>
          <w:highlight w:val="none"/>
          <w:lang w:eastAsia="zh-CN" w:bidi="ar-SA"/>
        </w:rPr>
        <w:t>根据申报类型附加相关可证性</w:t>
      </w:r>
      <w:r>
        <w:rPr>
          <w:rFonts w:hint="eastAsia" w:ascii="仿宋_GB2312" w:eastAsia="仿宋_GB2312" w:cs="仿宋_GB2312"/>
          <w:sz w:val="30"/>
          <w:szCs w:val="30"/>
          <w:highlight w:val="none"/>
          <w:lang w:bidi="ar-SA"/>
        </w:rPr>
        <w:t>材料</w:t>
      </w:r>
      <w:r>
        <w:rPr>
          <w:rFonts w:hint="eastAsia" w:ascii="仿宋_GB2312" w:eastAsia="仿宋_GB2312" w:cs="仿宋_GB2312"/>
          <w:sz w:val="30"/>
          <w:szCs w:val="30"/>
          <w:highlight w:val="none"/>
          <w:lang w:eastAsia="zh-CN" w:bidi="ar-SA"/>
        </w:rPr>
        <w:t>；申报表案例详情部分</w:t>
      </w:r>
      <w:r>
        <w:rPr>
          <w:rFonts w:hint="eastAsia" w:ascii="仿宋_GB2312" w:eastAsia="仿宋_GB2312" w:cs="仿宋_GB2312"/>
          <w:sz w:val="30"/>
          <w:szCs w:val="30"/>
          <w:highlight w:val="none"/>
          <w:lang w:bidi="ar-SA"/>
        </w:rPr>
        <w:t>应提供反映</w:t>
      </w:r>
      <w:r>
        <w:rPr>
          <w:rFonts w:hint="eastAsia" w:ascii="仿宋_GB2312" w:eastAsia="仿宋_GB2312" w:cs="仿宋_GB2312"/>
          <w:sz w:val="30"/>
          <w:szCs w:val="30"/>
          <w:highlight w:val="none"/>
          <w:lang w:eastAsia="zh-CN" w:bidi="ar-SA"/>
        </w:rPr>
        <w:t>案例</w:t>
      </w:r>
      <w:r>
        <w:rPr>
          <w:rFonts w:hint="eastAsia" w:ascii="仿宋_GB2312" w:eastAsia="仿宋_GB2312" w:cs="仿宋_GB2312"/>
          <w:sz w:val="30"/>
          <w:szCs w:val="30"/>
          <w:highlight w:val="none"/>
          <w:lang w:bidi="ar-SA"/>
        </w:rPr>
        <w:t>传播力、影响力以及经济效益等方面的</w:t>
      </w:r>
      <w:r>
        <w:rPr>
          <w:rFonts w:hint="eastAsia" w:ascii="仿宋_GB2312" w:eastAsia="仿宋_GB2312" w:cs="仿宋_GB2312"/>
          <w:sz w:val="30"/>
          <w:szCs w:val="30"/>
          <w:highlight w:val="none"/>
          <w:lang w:eastAsia="zh-CN" w:bidi="ar-SA"/>
        </w:rPr>
        <w:t>描述与相关</w:t>
      </w:r>
      <w:r>
        <w:rPr>
          <w:rFonts w:hint="eastAsia" w:ascii="仿宋_GB2312" w:eastAsia="仿宋_GB2312" w:cs="仿宋_GB2312"/>
          <w:sz w:val="30"/>
          <w:szCs w:val="30"/>
          <w:highlight w:val="none"/>
          <w:lang w:bidi="ar-SA"/>
        </w:rPr>
        <w:t>数据</w:t>
      </w:r>
      <w:r>
        <w:rPr>
          <w:rFonts w:hint="eastAsia" w:ascii="仿宋_GB2312" w:eastAsia="仿宋_GB2312" w:cs="仿宋_GB2312"/>
          <w:sz w:val="30"/>
          <w:szCs w:val="30"/>
          <w:highlight w:val="none"/>
          <w:lang w:eastAsia="zh-CN" w:bidi="ar-SA"/>
        </w:rPr>
        <w:t>等</w:t>
      </w:r>
      <w:r>
        <w:rPr>
          <w:rFonts w:hint="eastAsia" w:ascii="仿宋_GB2312" w:eastAsia="仿宋_GB2312" w:cs="仿宋_GB2312"/>
          <w:sz w:val="30"/>
          <w:szCs w:val="30"/>
          <w:highlight w:val="none"/>
          <w:lang w:bidi="ar-SA"/>
        </w:rPr>
        <w:t>，包括但不限于</w:t>
      </w:r>
      <w:r>
        <w:rPr>
          <w:rFonts w:hint="eastAsia" w:ascii="仿宋_GB2312" w:eastAsia="仿宋_GB2312" w:cs="仿宋_GB2312"/>
          <w:sz w:val="30"/>
          <w:szCs w:val="30"/>
          <w:highlight w:val="none"/>
          <w:lang w:eastAsia="zh-CN" w:bidi="ar-SA"/>
        </w:rPr>
        <w:t>案例本身情况、相关</w:t>
      </w:r>
      <w:r>
        <w:rPr>
          <w:rFonts w:hint="eastAsia" w:ascii="仿宋_GB2312" w:eastAsia="仿宋_GB2312" w:cs="仿宋_GB2312"/>
          <w:sz w:val="30"/>
          <w:szCs w:val="30"/>
          <w:highlight w:val="none"/>
          <w:lang w:bidi="ar-SA"/>
        </w:rPr>
        <w:t>产品数量、多渠道建设、用户反馈、收支情况、发展预期等，</w:t>
      </w:r>
      <w:r>
        <w:rPr>
          <w:rFonts w:hint="eastAsia" w:ascii="仿宋_GB2312" w:eastAsia="仿宋_GB2312" w:cs="仿宋_GB2312"/>
          <w:sz w:val="30"/>
          <w:szCs w:val="30"/>
          <w:highlight w:val="none"/>
          <w:lang w:eastAsia="zh-CN" w:bidi="ar-SA"/>
        </w:rPr>
        <w:t>叙述说明简介、全面，</w:t>
      </w:r>
      <w:r>
        <w:rPr>
          <w:rFonts w:hint="eastAsia" w:ascii="仿宋_GB2312" w:eastAsia="仿宋_GB2312" w:cs="仿宋_GB2312"/>
          <w:sz w:val="30"/>
          <w:szCs w:val="30"/>
          <w:highlight w:val="none"/>
          <w:lang w:bidi="ar-SA"/>
        </w:rPr>
        <w:t>数据充实</w:t>
      </w:r>
      <w:r>
        <w:rPr>
          <w:rFonts w:hint="eastAsia" w:ascii="仿宋_GB2312" w:eastAsia="仿宋_GB2312" w:cs="仿宋_GB2312"/>
          <w:sz w:val="30"/>
          <w:szCs w:val="30"/>
          <w:highlight w:val="none"/>
          <w:lang w:eastAsia="zh-CN" w:bidi="ar-SA"/>
        </w:rPr>
        <w:t>、</w:t>
      </w:r>
      <w:r>
        <w:rPr>
          <w:rFonts w:hint="eastAsia" w:ascii="仿宋_GB2312" w:eastAsia="仿宋_GB2312" w:cs="仿宋_GB2312"/>
          <w:sz w:val="30"/>
          <w:szCs w:val="30"/>
          <w:highlight w:val="none"/>
          <w:lang w:bidi="ar-SA"/>
        </w:rPr>
        <w:t>可量化，考虑增加对比性数据，避免过多感性描述</w:t>
      </w:r>
      <w:r>
        <w:rPr>
          <w:rFonts w:hint="eastAsia" w:ascii="仿宋_GB2312" w:eastAsia="仿宋_GB2312" w:cs="仿宋_GB2312"/>
          <w:sz w:val="30"/>
          <w:szCs w:val="30"/>
          <w:highlight w:val="none"/>
          <w:lang w:eastAsia="zh-CN" w:bidi="ar-SA"/>
        </w:rPr>
        <w:t>，总字数</w:t>
      </w:r>
      <w:r>
        <w:rPr>
          <w:rFonts w:hint="eastAsia" w:ascii="仿宋_GB2312" w:eastAsia="仿宋_GB2312" w:cs="仿宋_GB2312"/>
          <w:sz w:val="30"/>
          <w:szCs w:val="30"/>
          <w:highlight w:val="none"/>
          <w:lang w:bidi="ar-SA"/>
        </w:rPr>
        <w:t>不超过5000。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eastAsia="仿宋_GB2312" w:cs="仿宋_GB2312"/>
          <w:sz w:val="30"/>
          <w:szCs w:val="30"/>
          <w:lang w:bidi="ar-SA"/>
        </w:rPr>
      </w:pPr>
      <w:r>
        <w:rPr>
          <w:rFonts w:hint="eastAsia" w:ascii="仿宋_GB2312" w:cs="仿宋_GB2312"/>
          <w:sz w:val="30"/>
          <w:szCs w:val="30"/>
          <w:lang w:eastAsia="zh-CN" w:bidi="ar-SA"/>
        </w:rPr>
        <w:t>（</w:t>
      </w:r>
      <w:r>
        <w:rPr>
          <w:rFonts w:hint="eastAsia" w:ascii="仿宋_GB2312" w:cs="仿宋_GB2312"/>
          <w:sz w:val="30"/>
          <w:szCs w:val="30"/>
          <w:lang w:val="en-US" w:eastAsia="zh-CN" w:bidi="ar-SA"/>
        </w:rPr>
        <w:t>二</w:t>
      </w:r>
      <w:r>
        <w:rPr>
          <w:rFonts w:hint="eastAsia" w:ascii="仿宋_GB2312" w:cs="仿宋_GB2312"/>
          <w:sz w:val="30"/>
          <w:szCs w:val="30"/>
          <w:lang w:eastAsia="zh-CN" w:bidi="ar-SA"/>
        </w:rPr>
        <w:t>）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申报单位应按要求如实填报，确保前后信息一致，并由主要负责人签字后加盖申报单位公章。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cs="仿宋_GB2312"/>
          <w:sz w:val="30"/>
          <w:szCs w:val="30"/>
          <w:lang w:bidi="ar-SA"/>
        </w:rPr>
      </w:pPr>
      <w:r>
        <w:rPr>
          <w:rFonts w:hint="eastAsia" w:ascii="仿宋" w:eastAsia="仿宋" w:cs="仿宋"/>
          <w:sz w:val="30"/>
          <w:szCs w:val="30"/>
          <w:lang w:bidi="ar-SA"/>
        </w:rPr>
        <w:t>　　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（</w:t>
      </w:r>
      <w:r>
        <w:rPr>
          <w:rFonts w:hint="eastAsia" w:ascii="仿宋_GB2312" w:cs="仿宋_GB2312"/>
          <w:sz w:val="30"/>
          <w:szCs w:val="30"/>
          <w:lang w:val="en-US" w:eastAsia="zh-CN" w:bidi="ar-SA"/>
        </w:rPr>
        <w:t>三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）相关证明材料。包括企业法人营业执照或事业单位法人证书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复印件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、相关荣誉证书复印件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、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产品或服务说明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以及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能够证明申报案例综合质量和效益的其他资料。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="600" w:firstLineChars="200"/>
        <w:rPr>
          <w:rFonts w:hint="eastAsia" w:ascii="黑体" w:eastAsia="黑体" w:cs="黑体"/>
          <w:bCs/>
          <w:sz w:val="30"/>
          <w:szCs w:val="30"/>
          <w:lang w:bidi="ar-SA"/>
        </w:rPr>
      </w:pPr>
      <w:r>
        <w:rPr>
          <w:rFonts w:hint="eastAsia" w:ascii="黑体" w:eastAsia="黑体" w:cs="黑体"/>
          <w:bCs/>
          <w:sz w:val="30"/>
          <w:szCs w:val="30"/>
          <w:lang w:eastAsia="zh-CN" w:bidi="ar-SA"/>
        </w:rPr>
        <w:t>五</w:t>
      </w:r>
      <w:r>
        <w:rPr>
          <w:rFonts w:hint="eastAsia" w:ascii="黑体" w:eastAsia="黑体" w:cs="黑体"/>
          <w:bCs/>
          <w:sz w:val="30"/>
          <w:szCs w:val="30"/>
          <w:lang w:bidi="ar-SA"/>
        </w:rPr>
        <w:t>、申报时间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bidi="ar-SA"/>
        </w:rPr>
      </w:pPr>
      <w:r>
        <w:rPr>
          <w:rFonts w:hint="eastAsia" w:ascii="华文仿宋" w:eastAsia="华文仿宋" w:cs="Times New Roman"/>
          <w:sz w:val="30"/>
          <w:szCs w:val="30"/>
          <w:lang w:bidi="ar-SA"/>
        </w:rPr>
        <w:t>　　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 w:bidi="ar-SA"/>
        </w:rPr>
        <w:t>2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 w:bidi="ar-SA"/>
        </w:rPr>
        <w:t>8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 w:bidi="ar-SA"/>
        </w:rPr>
        <w:t>23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日至</w:t>
      </w:r>
      <w:r>
        <w:rPr>
          <w:rFonts w:hint="eastAsia" w:ascii="仿宋" w:hAnsi="仿宋" w:eastAsia="仿宋" w:cs="仿宋"/>
          <w:sz w:val="30"/>
          <w:szCs w:val="30"/>
          <w:lang w:val="en-US" w:eastAsia="zh-CN" w:bidi="ar-SA"/>
        </w:rPr>
        <w:t>9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 w:bidi="ar-SA"/>
        </w:rPr>
        <w:t>30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="600" w:firstLineChars="200"/>
        <w:rPr>
          <w:rFonts w:hint="eastAsia" w:ascii="黑体" w:eastAsia="黑体" w:cs="黑体"/>
          <w:bCs/>
          <w:sz w:val="30"/>
          <w:szCs w:val="30"/>
          <w:lang w:val="en-US" w:eastAsia="zh-CN" w:bidi="ar-SA"/>
        </w:rPr>
      </w:pPr>
      <w:r>
        <w:rPr>
          <w:rFonts w:hint="eastAsia" w:ascii="黑体" w:eastAsia="黑体" w:cs="黑体"/>
          <w:bCs/>
          <w:sz w:val="30"/>
          <w:szCs w:val="30"/>
          <w:lang w:eastAsia="zh-CN" w:bidi="ar-SA"/>
        </w:rPr>
        <w:t>六</w:t>
      </w:r>
      <w:r>
        <w:rPr>
          <w:rFonts w:hint="eastAsia" w:ascii="黑体" w:eastAsia="黑体" w:cs="黑体"/>
          <w:bCs/>
          <w:sz w:val="30"/>
          <w:szCs w:val="30"/>
          <w:lang w:bidi="ar-SA"/>
        </w:rPr>
        <w:t>、申报</w:t>
      </w:r>
      <w:r>
        <w:rPr>
          <w:rFonts w:hint="eastAsia" w:ascii="黑体" w:eastAsia="黑体" w:cs="黑体"/>
          <w:bCs/>
          <w:sz w:val="30"/>
          <w:szCs w:val="30"/>
          <w:lang w:val="en-US" w:eastAsia="zh-CN" w:bidi="ar-SA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bidi="ar-SA"/>
        </w:rPr>
      </w:pPr>
      <w:r>
        <w:rPr>
          <w:rFonts w:hint="eastAsia" w:ascii="宋体" w:eastAsia="宋体" w:cs="Times New Roman"/>
          <w:sz w:val="30"/>
          <w:szCs w:val="30"/>
          <w:lang w:bidi="ar-SA"/>
        </w:rPr>
        <w:t>　　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各</w:t>
      </w:r>
      <w:r>
        <w:rPr>
          <w:rFonts w:hint="eastAsia" w:ascii="仿宋" w:hAnsi="仿宋" w:eastAsia="仿宋" w:cs="仿宋"/>
          <w:sz w:val="30"/>
          <w:szCs w:val="30"/>
          <w:lang w:val="en-US" w:eastAsia="zh-CN" w:bidi="ar-SA"/>
        </w:rPr>
        <w:t>有关单位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按照《中国行业报协会关于开展</w:t>
      </w:r>
      <w:r>
        <w:rPr>
          <w:rFonts w:hint="eastAsia" w:ascii="仿宋" w:hAnsi="仿宋" w:eastAsia="仿宋" w:cs="仿宋"/>
          <w:sz w:val="30"/>
          <w:szCs w:val="30"/>
          <w:lang w:eastAsia="zh-CN" w:bidi="ar-SA"/>
        </w:rPr>
        <w:t>中国行业媒体融合发展典型（优秀）案例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征集工作的通知》及本指南要求，认真组织申报并做好审核工作。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bidi="ar-SA"/>
        </w:rPr>
      </w:pPr>
      <w:r>
        <w:rPr>
          <w:rFonts w:hint="eastAsia" w:ascii="仿宋" w:hAnsi="仿宋" w:eastAsia="仿宋" w:cs="仿宋"/>
          <w:sz w:val="30"/>
          <w:szCs w:val="30"/>
          <w:lang w:bidi="ar-SA"/>
        </w:rPr>
        <w:t>　　（一）申报文件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0"/>
        <w:textAlignment w:val="auto"/>
        <w:rPr>
          <w:rFonts w:hint="eastAsia" w:ascii="仿宋_GB2312" w:eastAsia="仿宋_GB2312" w:cs="仿宋_GB2312"/>
          <w:sz w:val="30"/>
          <w:szCs w:val="30"/>
          <w:lang w:eastAsia="zh-CN" w:bidi="ar-SA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电子版申报材料：《2022年</w:t>
      </w:r>
      <w:r>
        <w:rPr>
          <w:rFonts w:hint="eastAsia" w:ascii="仿宋" w:hAnsi="仿宋" w:eastAsia="仿宋" w:cs="仿宋"/>
          <w:sz w:val="30"/>
          <w:szCs w:val="30"/>
          <w:lang w:eastAsia="zh-CN" w:bidi="ar-SA"/>
        </w:rPr>
        <w:t>中国行业媒体融合发展典型（优秀）案例</w:t>
      </w:r>
      <w:r>
        <w:rPr>
          <w:rFonts w:hint="eastAsia" w:ascii="Times New Roman" w:hAnsi="Times New Roman" w:eastAsia="华文仿宋" w:cs="Times New Roman"/>
          <w:sz w:val="30"/>
          <w:szCs w:val="30"/>
          <w:lang w:bidi="ar-SA"/>
        </w:rPr>
        <w:t>申报表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》须为</w:t>
      </w:r>
      <w:r>
        <w:rPr>
          <w:rFonts w:ascii="Times New Roman" w:hAnsi="Times New Roman" w:eastAsia="华文仿宋" w:cs="Times New Roman"/>
          <w:sz w:val="30"/>
          <w:szCs w:val="30"/>
          <w:lang w:bidi="ar-SA"/>
        </w:rPr>
        <w:t>word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文档格式</w:t>
      </w:r>
      <w:r>
        <w:rPr>
          <w:rFonts w:hint="eastAsia" w:ascii="仿宋_GB2312" w:eastAsia="仿宋_GB2312" w:cs="仿宋_GB2312"/>
          <w:sz w:val="30"/>
          <w:szCs w:val="30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0"/>
        <w:textAlignment w:val="auto"/>
        <w:rPr>
          <w:rFonts w:hint="eastAsia" w:ascii="仿宋" w:eastAsia="仿宋" w:cs="仿宋"/>
          <w:sz w:val="30"/>
          <w:szCs w:val="30"/>
          <w:lang w:bidi="ar-SA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 w:bidi="ar-SA"/>
        </w:rPr>
        <w:t>2，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其他证明材料可为</w:t>
      </w:r>
      <w:r>
        <w:rPr>
          <w:rFonts w:ascii="Times New Roman" w:hAnsi="Times New Roman" w:eastAsia="华文仿宋" w:cs="Times New Roman"/>
          <w:sz w:val="30"/>
          <w:szCs w:val="30"/>
          <w:lang w:bidi="ar-SA"/>
        </w:rPr>
        <w:t>jpg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或</w:t>
      </w:r>
      <w:r>
        <w:rPr>
          <w:rFonts w:ascii="Times New Roman" w:hAnsi="Times New Roman" w:eastAsia="华文仿宋" w:cs="Times New Roman"/>
          <w:sz w:val="30"/>
          <w:szCs w:val="30"/>
          <w:lang w:bidi="ar-SA"/>
        </w:rPr>
        <w:t>pdf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cs="仿宋_GB2312"/>
          <w:sz w:val="30"/>
          <w:szCs w:val="30"/>
          <w:lang w:bidi="ar-SA"/>
        </w:rPr>
      </w:pPr>
      <w:r>
        <w:rPr>
          <w:rFonts w:hint="eastAsia" w:ascii="华文仿宋" w:eastAsia="华文仿宋" w:cs="Times New Roman"/>
          <w:sz w:val="30"/>
          <w:szCs w:val="30"/>
          <w:lang w:bidi="ar-SA"/>
        </w:rPr>
        <w:t>　　</w:t>
      </w:r>
      <w:r>
        <w:rPr>
          <w:rFonts w:hint="eastAsia" w:ascii="仿宋_GB2312" w:eastAsia="仿宋_GB2312" w:cs="仿宋_GB2312"/>
          <w:sz w:val="30"/>
          <w:szCs w:val="30"/>
          <w:lang w:bidi="ar-SA"/>
        </w:rPr>
        <w:t>（二）申报途径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0"/>
          <w:szCs w:val="30"/>
          <w:lang w:eastAsia="zh-CN" w:bidi="ar-SA"/>
        </w:rPr>
      </w:pPr>
      <w:r>
        <w:rPr>
          <w:rFonts w:hint="eastAsia" w:ascii="仿宋" w:hAnsi="仿宋" w:eastAsia="仿宋" w:cs="仿宋"/>
          <w:sz w:val="30"/>
          <w:szCs w:val="30"/>
          <w:lang w:bidi="ar-SA"/>
        </w:rPr>
        <w:t>各</w:t>
      </w:r>
      <w:r>
        <w:rPr>
          <w:rFonts w:hint="eastAsia" w:ascii="仿宋" w:hAnsi="仿宋" w:eastAsia="仿宋" w:cs="仿宋"/>
          <w:sz w:val="30"/>
          <w:szCs w:val="30"/>
          <w:lang w:val="en-US" w:eastAsia="zh-CN" w:bidi="ar-SA"/>
        </w:rPr>
        <w:t>有关单位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将</w:t>
      </w:r>
      <w:r>
        <w:rPr>
          <w:rFonts w:hint="eastAsia" w:ascii="仿宋" w:hAnsi="仿宋" w:eastAsia="仿宋" w:cs="仿宋"/>
          <w:sz w:val="30"/>
          <w:szCs w:val="30"/>
          <w:lang w:val="en-US" w:eastAsia="zh-CN" w:bidi="ar-SA"/>
        </w:rPr>
        <w:t>电子版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申报材料发送至</w:t>
      </w:r>
      <w:r>
        <w:rPr>
          <w:rFonts w:hint="eastAsia" w:ascii="仿宋" w:hAnsi="仿宋" w:eastAsia="仿宋" w:cs="仿宋"/>
          <w:sz w:val="30"/>
          <w:szCs w:val="30"/>
          <w:lang w:eastAsia="zh-CN" w:bidi="ar-SA"/>
        </w:rPr>
        <w:t>zghybxh@foxmail.com</w:t>
      </w:r>
      <w:r>
        <w:rPr>
          <w:rFonts w:hint="eastAsia" w:ascii="仿宋" w:hAnsi="仿宋" w:eastAsia="仿宋" w:cs="仿宋"/>
          <w:sz w:val="30"/>
          <w:szCs w:val="30"/>
          <w:lang w:bidi="ar-SA"/>
        </w:rPr>
        <w:t>或U盘邮寄至中国行业报协会</w:t>
      </w:r>
      <w:r>
        <w:rPr>
          <w:rFonts w:hint="eastAsia" w:ascii="仿宋" w:hAnsi="仿宋" w:eastAsia="仿宋" w:cs="仿宋"/>
          <w:sz w:val="30"/>
          <w:szCs w:val="30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0"/>
          <w:szCs w:val="30"/>
          <w:lang w:eastAsia="zh-CN" w:bidi="ar-SA"/>
        </w:rPr>
      </w:pPr>
      <w:r>
        <w:rPr>
          <w:rFonts w:hint="eastAsia" w:ascii="仿宋" w:hAnsi="仿宋" w:eastAsia="仿宋" w:cs="仿宋"/>
          <w:sz w:val="30"/>
          <w:szCs w:val="30"/>
          <w:lang w:bidi="ar-SA"/>
        </w:rPr>
        <w:t>地址：北京市西城区黄寺大街24号院22号楼中国行业报协会融媒体中心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 w:bidi="ar-SA"/>
        </w:rPr>
        <w:t>联系人：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李敏康、张德钦、高汇标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lang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  <w:lang w:bidi="ar-SA"/>
        </w:rPr>
        <w:t>联系电话：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13810770938、13910839608、18210063482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jRmMjNlNTlkYzFmMTE3ZThhMzJiY2E3ZDI0YmUifQ=="/>
  </w:docVars>
  <w:rsids>
    <w:rsidRoot w:val="4DF41EA4"/>
    <w:rsid w:val="0BFF5A10"/>
    <w:rsid w:val="49C261C2"/>
    <w:rsid w:val="4DF4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2174</Words>
  <Characters>2264</Characters>
  <Lines>0</Lines>
  <Paragraphs>0</Paragraphs>
  <TotalTime>0</TotalTime>
  <ScaleCrop>false</ScaleCrop>
  <LinksUpToDate>false</LinksUpToDate>
  <CharactersWithSpaces>2306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2022-08-23T02:37:00Z</dcterms:created>
  <dc:creator>LENOVO</dc:creator>
  <cp:lastModifiedBy>LENOVO</cp:lastModifiedBy>
  <dcterms:modified xsi:type="dcterms:W3CDTF">2022-08-23T06:52:43Z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4443AEE4CF544994B6ABE10D6B78E948</vt:lpwstr>
  </property>
</Properties>
</file>