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79AB" w:rsidRDefault="003E79AB" w:rsidP="003E79AB">
      <w:pPr>
        <w:autoSpaceDE w:val="0"/>
        <w:autoSpaceDN w:val="0"/>
        <w:adjustRightInd w:val="0"/>
        <w:spacing w:afterLines="50" w:after="156"/>
        <w:jc w:val="center"/>
        <w:rPr>
          <w:rFonts w:ascii="华文中宋" w:eastAsia="华文中宋" w:hAnsi="华文中宋" w:cs="黑体"/>
          <w:sz w:val="36"/>
          <w:szCs w:val="36"/>
          <w:lang w:val="zh-CN"/>
        </w:rPr>
      </w:pPr>
      <w:r>
        <w:rPr>
          <w:rFonts w:ascii="华文中宋" w:eastAsia="华文中宋" w:hAnsi="华文中宋" w:cs="黑体" w:hint="eastAsia"/>
          <w:sz w:val="36"/>
          <w:szCs w:val="36"/>
          <w:lang w:val="zh-CN"/>
        </w:rPr>
        <w:t>中国新闻奖报纸、通讯社新闻专栏代表作基本情况</w:t>
      </w:r>
    </w:p>
    <w:tbl>
      <w:tblPr>
        <w:tblW w:w="93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4"/>
        <w:gridCol w:w="673"/>
        <w:gridCol w:w="7680"/>
      </w:tblGrid>
      <w:tr w:rsidR="003E79AB" w:rsidTr="005B284C">
        <w:trPr>
          <w:trHeight w:hRule="exact" w:val="68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AB" w:rsidRDefault="003E79A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作品标题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AB" w:rsidRDefault="003E79AB" w:rsidP="005B284C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制度建设是中小银行改革的关键所在</w:t>
            </w:r>
          </w:p>
        </w:tc>
      </w:tr>
      <w:tr w:rsidR="003E79AB" w:rsidTr="005B284C">
        <w:trPr>
          <w:trHeight w:hRule="exact" w:val="680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AB" w:rsidRDefault="003E79A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发表日期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AB" w:rsidRDefault="003E79A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201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年11月11日</w:t>
            </w:r>
          </w:p>
        </w:tc>
      </w:tr>
      <w:tr w:rsidR="003E79AB" w:rsidTr="005B284C">
        <w:trPr>
          <w:trHeight w:val="2832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AB" w:rsidRDefault="003E79A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作</w:t>
            </w:r>
          </w:p>
          <w:p w:rsidR="003E79AB" w:rsidRDefault="003E79A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品</w:t>
            </w:r>
          </w:p>
          <w:p w:rsidR="003E79AB" w:rsidRDefault="003E79A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评</w:t>
            </w:r>
          </w:p>
          <w:p w:rsidR="003E79AB" w:rsidRDefault="003E79A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介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AB" w:rsidRPr="007D4DAE" w:rsidRDefault="007D4DAE" w:rsidP="007D4DAE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 w:rsidRPr="007D4DAE"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2</w:t>
            </w:r>
            <w:r w:rsidRPr="007D4DAE">
              <w:rPr>
                <w:rFonts w:ascii="仿宋" w:eastAsia="仿宋" w:hAnsi="仿宋" w:cs="仿宋"/>
                <w:sz w:val="28"/>
                <w:szCs w:val="28"/>
                <w:lang w:val="zh-CN"/>
              </w:rPr>
              <w:t>019</w:t>
            </w:r>
            <w:r w:rsidRPr="007D4DAE"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年，深化中小银行改革大幕开启，成为年度金融行业重磅新闻之一。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去年</w:t>
            </w:r>
            <w:r w:rsidRPr="007D4DAE">
              <w:rPr>
                <w:rFonts w:ascii="仿宋" w:eastAsia="仿宋" w:hAnsi="仿宋"/>
                <w:color w:val="000000"/>
                <w:sz w:val="28"/>
                <w:szCs w:val="28"/>
                <w:shd w:val="clear" w:color="auto" w:fill="FFFFFF"/>
              </w:rPr>
              <w:t>，中小银行经营管理暴露出一些问题，打赢防范化解重大风险攻坚战，化解和处置中小银行风险是必须解决的重要问题。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shd w:val="clear" w:color="auto" w:fill="FFFFFF"/>
              </w:rPr>
              <w:t>围绕这一问题，这篇评论没有局限于蹭热度、炒话题，而是冷静客观地分析“沉疴”的成因，条分缕析指出“猛药”应如何下。文章提出强化公司内部治理与完善资本补充机制两条思路，并进行深入、理性的分析。不仅提出了问题，而且给出了解决问题的思路，非常具有现实意义。</w:t>
            </w:r>
          </w:p>
        </w:tc>
      </w:tr>
      <w:tr w:rsidR="003E79AB" w:rsidTr="005B284C">
        <w:trPr>
          <w:trHeight w:val="2692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AB" w:rsidRDefault="003E79A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采</w:t>
            </w:r>
          </w:p>
          <w:p w:rsidR="003E79AB" w:rsidRDefault="003E79A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编</w:t>
            </w:r>
          </w:p>
          <w:p w:rsidR="003E79AB" w:rsidRDefault="003E79A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过</w:t>
            </w:r>
          </w:p>
          <w:p w:rsidR="003E79AB" w:rsidRDefault="003E79A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程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AB" w:rsidRDefault="00550DB1" w:rsidP="007D4DAE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作者从去年被监管层实施托管或战略重组的包商银行、锦州银行和恒丰银行入手，但是没有局限于话题本身，而是开宗明义指出问题的共性和根源，文风客观、中肯，分析深入、透彻。</w:t>
            </w:r>
          </w:p>
          <w:p w:rsidR="00550DB1" w:rsidRDefault="00550DB1" w:rsidP="007D4DAE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专栏编辑抓住国务院金融委会议提出“深化中小企业改革”这一热点话题，选取这篇评论作为当周的重点评论，紧跟新闻焦点，及时、合理进行版面处理，并对稿件的逻辑进行了进一步梳理和完善。</w:t>
            </w:r>
          </w:p>
        </w:tc>
      </w:tr>
      <w:tr w:rsidR="003E79AB" w:rsidTr="005B284C">
        <w:trPr>
          <w:trHeight w:val="2680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AB" w:rsidRDefault="003E79A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社</w:t>
            </w:r>
          </w:p>
          <w:p w:rsidR="003E79AB" w:rsidRDefault="003E79A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会</w:t>
            </w:r>
          </w:p>
          <w:p w:rsidR="003E79AB" w:rsidRDefault="003E79A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效</w:t>
            </w:r>
          </w:p>
          <w:p w:rsidR="003E79AB" w:rsidRDefault="003E79AB" w:rsidP="005B284C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果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9AB" w:rsidRDefault="003738D1" w:rsidP="00AD73BA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这篇评论不仅被人民网、光明网、新浪财经等多家权威媒体转载，而且受到了各地监管机构的关注，被多地政府官网和地方金融监管局网站转载，不仅起到了很好的政策宣传效果，而且为中小银行监管提出了很好的思路和建议。</w:t>
            </w:r>
          </w:p>
        </w:tc>
      </w:tr>
    </w:tbl>
    <w:p w:rsidR="003E79AB" w:rsidRDefault="003E79AB" w:rsidP="003E79AB">
      <w:pPr>
        <w:autoSpaceDE w:val="0"/>
        <w:autoSpaceDN w:val="0"/>
        <w:adjustRightInd w:val="0"/>
        <w:spacing w:line="420" w:lineRule="exact"/>
      </w:pPr>
      <w:r>
        <w:rPr>
          <w:rFonts w:ascii="楷体" w:eastAsia="楷体" w:hAnsi="楷体" w:hint="eastAsia"/>
          <w:sz w:val="28"/>
        </w:rPr>
        <w:t>此表可从中国记协网www.zgjx.cn下载，上、下半年代表作前各附</w:t>
      </w:r>
      <w:r>
        <w:rPr>
          <w:rFonts w:ascii="楷体" w:eastAsia="楷体" w:hAnsi="楷体"/>
          <w:sz w:val="28"/>
        </w:rPr>
        <w:t>1</w:t>
      </w:r>
      <w:r>
        <w:rPr>
          <w:rFonts w:ascii="楷体" w:eastAsia="楷体" w:hAnsi="楷体" w:hint="eastAsia"/>
          <w:sz w:val="28"/>
        </w:rPr>
        <w:t>张。</w:t>
      </w:r>
    </w:p>
    <w:p w:rsidR="00785F32" w:rsidRPr="003E79AB" w:rsidRDefault="00785F32"/>
    <w:sectPr w:rsidR="00785F32" w:rsidRPr="003E79AB" w:rsidSect="00785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06BA" w:rsidRDefault="00A906BA" w:rsidP="00AD73BA">
      <w:r>
        <w:separator/>
      </w:r>
    </w:p>
  </w:endnote>
  <w:endnote w:type="continuationSeparator" w:id="0">
    <w:p w:rsidR="00A906BA" w:rsidRDefault="00A906BA" w:rsidP="00AD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06BA" w:rsidRDefault="00A906BA" w:rsidP="00AD73BA">
      <w:r>
        <w:separator/>
      </w:r>
    </w:p>
  </w:footnote>
  <w:footnote w:type="continuationSeparator" w:id="0">
    <w:p w:rsidR="00A906BA" w:rsidRDefault="00A906BA" w:rsidP="00AD7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9AB"/>
    <w:rsid w:val="003738D1"/>
    <w:rsid w:val="003E79AB"/>
    <w:rsid w:val="00550DB1"/>
    <w:rsid w:val="00785F32"/>
    <w:rsid w:val="00796B1A"/>
    <w:rsid w:val="007D4DAE"/>
    <w:rsid w:val="00A906BA"/>
    <w:rsid w:val="00AD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01535"/>
  <w15:docId w15:val="{0559998E-3329-4886-B019-AEB31A90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9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73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7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73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wyan</dc:creator>
  <cp:lastModifiedBy>mars</cp:lastModifiedBy>
  <cp:revision>3</cp:revision>
  <dcterms:created xsi:type="dcterms:W3CDTF">2020-04-15T10:27:00Z</dcterms:created>
  <dcterms:modified xsi:type="dcterms:W3CDTF">2020-04-16T09:11:00Z</dcterms:modified>
</cp:coreProperties>
</file>