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92AE4" w:rsidRPr="00792AE4" w:rsidTr="00792AE4">
        <w:trPr>
          <w:tblCellSpacing w:w="0" w:type="dxa"/>
        </w:trPr>
        <w:tc>
          <w:tcPr>
            <w:tcW w:w="0" w:type="auto"/>
            <w:shd w:val="clear" w:color="auto" w:fill="F7FA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92AE4" w:rsidRPr="00792A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AE4" w:rsidRPr="00792AE4" w:rsidRDefault="00792AE4" w:rsidP="00792AE4">
                  <w:pPr>
                    <w:widowControl/>
                    <w:adjustRightInd/>
                    <w:snapToGrid/>
                    <w:spacing w:line="585" w:lineRule="atLeast"/>
                    <w:ind w:firstLineChars="0" w:firstLine="0"/>
                    <w:jc w:val="center"/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</w:pPr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跳出</w:t>
                  </w:r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“</w:t>
                  </w:r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大棚房</w:t>
                  </w:r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”</w:t>
                  </w:r>
                  <w:proofErr w:type="gramStart"/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整治看</w:t>
                  </w:r>
                  <w:proofErr w:type="gramEnd"/>
                  <w:r w:rsidRPr="00792A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  <w:t>这场耕地保卫战</w:t>
                  </w:r>
                </w:p>
              </w:tc>
            </w:tr>
            <w:tr w:rsidR="00792AE4" w:rsidRPr="00792A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AE4" w:rsidRPr="00792AE4" w:rsidRDefault="00792AE4" w:rsidP="00792AE4">
                  <w:pPr>
                    <w:widowControl/>
                    <w:adjustRightInd/>
                    <w:snapToGrid/>
                    <w:spacing w:line="585" w:lineRule="atLeast"/>
                    <w:ind w:firstLineChars="0" w:firstLine="0"/>
                    <w:jc w:val="center"/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39"/>
                      <w:szCs w:val="39"/>
                    </w:rPr>
                  </w:pPr>
                </w:p>
              </w:tc>
            </w:tr>
            <w:tr w:rsidR="00792AE4" w:rsidRPr="00792A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2AE4" w:rsidRPr="00792AE4" w:rsidRDefault="00792AE4" w:rsidP="00792AE4">
                  <w:pPr>
                    <w:widowControl/>
                    <w:adjustRightInd/>
                    <w:snapToGrid/>
                    <w:spacing w:line="336" w:lineRule="atLeast"/>
                    <w:ind w:firstLineChars="0" w:firstLine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92AE4" w:rsidRPr="00792AE4" w:rsidRDefault="00792AE4" w:rsidP="00792AE4">
            <w:pPr>
              <w:widowControl/>
              <w:adjustRightInd/>
              <w:snapToGrid/>
              <w:spacing w:before="150" w:after="150"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92AE4" w:rsidRPr="00792AE4" w:rsidTr="00792AE4">
        <w:trPr>
          <w:tblCellSpacing w:w="0" w:type="dxa"/>
        </w:trPr>
        <w:tc>
          <w:tcPr>
            <w:tcW w:w="0" w:type="auto"/>
            <w:shd w:val="clear" w:color="auto" w:fill="F7FA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50" w:after="150" w:line="330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车娜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倘若守不住耕地红线，守不住永久基本农田底线，当饭碗都不能牢牢端在自己手上的时候，又何谈田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？田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不是少数人的独享，也绝不是靠牺牲耕地换来的昙花一现。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眼下，全国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问题专项清理整治行动正在收尾。社会舆论在惊叹耕地被占之严重、肯定这场耕地保卫战成效的同时，也传来了一些值得令人深思的声音：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项目投资时为什么要鼓励？现在为什么又要求拆除？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如果是违法违规的项目，当初建设时为什么不制止？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休闲农业到底是要支持还是要打压？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改革，不就是要突破现有的法律吗？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”……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显然，这次整治触动了不少人的神经。其实，整治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，这并非头一回。从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2009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年开始，京津冀就开始一轮一轮地整治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。然而，屡禁不止。在利益诱惑驱使下，有的人总是抱着侥幸心理，想当然地以为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法不责众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。这一回，随着一座座违法违规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的倒下，我们看到了国家对滥占耕地行为绝不手软，在耕地保护这件事上绝不含糊，也让人想起了习近平总书记在小岗村座谈会时讲的那句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必须把关系十几亿人吃饭大事的耕地保护好，绝不能有闪失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对于一个国家来说，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粮安则天下安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。任何威胁粮食安全、触碰耕地保护红线的行为，都不该被纵容。有人担心，此次整治挫伤了一部分人搞休闲农业的积极性，让不少人田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碎。但是，倘若守不住耕地红线，守不住永久基本农田底线，当饭碗都不能牢牢端在自己手上的时候，又何谈田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？田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不是少数人的独享，也绝不是靠牺牲耕地换来的昙花一现。从这个角度来讲，我们不妨跳出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来看待这场耕地保卫战。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看待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整治，需要避免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只见树木不见森林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。当前，乡村旅游、共享农业、体验农业、创意农业等农村新产业新业态蓬勃发展。以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为典型代表的休闲农业仅是其中一种。仅此一种，就能玩出如此繁多的违规占地花样。我们不得不担忧：面对农村这一广阔的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投资洼地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，各路野心勃勃的下乡资本，有多少是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醉翁之意不在酒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，试图用资本绑架成本低廉的耕地？此次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整治，正是要惩前毖后，告诫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后来人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：欢迎到农村创业，但依法用地要先行。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lastRenderedPageBreak/>
              <w:t xml:space="preserve">　　透过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整治，不仅要看到用地亟待规范，也要看到土地利用方式亟待转变。农村新产业新业态的涌现，夹杂着土地利用的冲突与矛盾，直接倒逼的是土地利用方式的转变。现如今，一些问题已经凸显，比如村庄规划滞后，产业布局与耕地红线、永久基本农田缺乏统筹，土地政策不够细化，土地分类过于笼统等等。如何在守住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农地姓农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底线的前提下，满足现代农业的发展需求，优化土地供给，促进农村一、二、三产业融合发展，亟待破题。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透过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大棚房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整治，我们还应该正视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保发展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与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保耕地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两难在农村的显化。必须承认，这场整治让我们看到了休闲农业发展与耕地保护之间的现实冲突。尽管这种冲突本该在依法依规用地中得以避免。如果说，此前这种冲突或多或少还被欣欣向荣的休闲农业态势所掩盖，那么这次则揭开了这层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外衣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。过去，我们讲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保发展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与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保耕地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的两难，主要着眼城市；如今，这种两难已经在农村显化。如何汲取城市发展的经验与教训，做好村庄规划，合理安排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三生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空间，处理好农村发展与耕地保护的关系，让农村走上可持续发展道路，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 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考验着政府和相关部门的智慧。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作为此次整治行动的执行者，地方政府和相关部门应当认识到，这并不是一场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一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拆了之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的专项行动，完全可以是一次总结经验教训、找寻解决之道的摸底调研。作为被执行者的企业也应认识到，这并非田</w:t>
            </w:r>
            <w:proofErr w:type="gramStart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园梦</w:t>
            </w:r>
            <w:proofErr w:type="gramEnd"/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碎之时，而是可以借此摸清政策边界、底线，打好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翻身仗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走上健康创业路的一次重生。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但存方寸地，留与子孙耕。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正如当年《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字新解》一文所说，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字中间是个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十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，一横代表着农田用途不许变，一竖强调着集体土地所有制性质不许变，十字交叉的中心点则象征着农民的利益不得损害。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字不是不可以出头，但出头必须有充足的理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由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或是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甲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等的选择。不论是发展休闲农业还是其他农村新产业新业态，面对耕地时，今天的我们都应先扪心自问：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“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田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”</w:t>
            </w: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>字出头是否充分且必要？</w:t>
            </w:r>
          </w:p>
          <w:p w:rsidR="00792AE4" w:rsidRPr="00792AE4" w:rsidRDefault="00792AE4" w:rsidP="00792AE4">
            <w:pPr>
              <w:widowControl/>
              <w:wordWrap w:val="0"/>
              <w:adjustRightInd/>
              <w:snapToGrid/>
              <w:spacing w:before="100" w:beforeAutospacing="1" w:after="100" w:afterAutospacing="1" w:line="375" w:lineRule="atLeast"/>
              <w:ind w:firstLineChars="0" w:firstLine="0"/>
              <w:rPr>
                <w:rFonts w:ascii="Arial" w:eastAsia="宋体" w:hAnsi="Arial" w:cs="Arial"/>
                <w:kern w:val="0"/>
                <w:sz w:val="21"/>
                <w:szCs w:val="21"/>
              </w:rPr>
            </w:pPr>
            <w:r w:rsidRPr="00792AE4">
              <w:rPr>
                <w:rFonts w:ascii="Arial" w:eastAsia="宋体" w:hAnsi="Arial" w:cs="Arial"/>
                <w:kern w:val="0"/>
                <w:sz w:val="21"/>
                <w:szCs w:val="21"/>
              </w:rPr>
              <w:t xml:space="preserve">　　（作者系本报记者）</w:t>
            </w:r>
          </w:p>
        </w:tc>
      </w:tr>
    </w:tbl>
    <w:p w:rsidR="00293B39" w:rsidRDefault="00792AE4">
      <w:pPr>
        <w:ind w:firstLine="640"/>
      </w:pPr>
      <w:bookmarkStart w:id="0" w:name="_GoBack"/>
      <w:bookmarkEnd w:id="0"/>
    </w:p>
    <w:sectPr w:rsidR="00293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E4"/>
    <w:rsid w:val="00460DC1"/>
    <w:rsid w:val="00792AE4"/>
    <w:rsid w:val="0081420B"/>
    <w:rsid w:val="00C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1CC5-628F-4CF2-82B8-5AE2506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78"/>
    <w:pPr>
      <w:widowControl w:val="0"/>
      <w:adjustRightInd w:val="0"/>
      <w:snapToGrid w:val="0"/>
      <w:spacing w:line="54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AE4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2020-05-11T07:36:00Z</dcterms:created>
  <dcterms:modified xsi:type="dcterms:W3CDTF">2020-05-11T07:36:00Z</dcterms:modified>
</cp:coreProperties>
</file>